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34E83ADF" w:rsidR="00E82235" w:rsidRPr="00E82235" w:rsidRDefault="003E4794" w:rsidP="00E82235">
      <w:pPr>
        <w:jc w:val="center"/>
        <w:rPr>
          <w:b/>
          <w:sz w:val="24"/>
          <w:szCs w:val="24"/>
        </w:rPr>
      </w:pPr>
      <w:r>
        <w:rPr>
          <w:b/>
          <w:sz w:val="24"/>
          <w:szCs w:val="24"/>
        </w:rPr>
        <w:t>HSELGVI26</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 xml:space="preserve">It is your responsibility to ensure you have access to your emails. If you choose to use your work email </w:t>
      </w:r>
      <w:proofErr w:type="gramStart"/>
      <w:r>
        <w:rPr>
          <w:rFonts w:cs="Arial"/>
        </w:rPr>
        <w:t>addresses</w:t>
      </w:r>
      <w:proofErr w:type="gramEnd"/>
      <w:r>
        <w:rPr>
          <w:rFonts w:cs="Arial"/>
        </w:rPr>
        <w:t xml:space="preserve">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 xml:space="preserve">Please note that no panel will be formed </w:t>
      </w:r>
      <w:proofErr w:type="gramStart"/>
      <w:r w:rsidR="004F1403" w:rsidRPr="004F1403">
        <w:rPr>
          <w:rFonts w:ascii="Arial" w:hAnsi="Arial" w:cs="Arial"/>
          <w:iCs/>
        </w:rPr>
        <w:t>as a result of</w:t>
      </w:r>
      <w:proofErr w:type="gramEnd"/>
      <w:r w:rsidR="004F1403" w:rsidRPr="004F1403">
        <w:rPr>
          <w:rFonts w:ascii="Arial" w:hAnsi="Arial" w:cs="Arial"/>
          <w:iCs/>
        </w:rPr>
        <w:t xml:space="preserve">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w:t>
      </w:r>
      <w:proofErr w:type="gramStart"/>
      <w:r w:rsidRPr="008F59BA">
        <w:rPr>
          <w:rFonts w:cs="Arial"/>
        </w:rPr>
        <w:t>a number of</w:t>
      </w:r>
      <w:proofErr w:type="gramEnd"/>
      <w:r w:rsidRPr="008F59BA">
        <w:rPr>
          <w:rFonts w:cs="Arial"/>
        </w:rPr>
        <w:t xml:space="preserve"> stages of selection and </w:t>
      </w:r>
      <w:proofErr w:type="gramStart"/>
      <w:r w:rsidRPr="008F59BA">
        <w:rPr>
          <w:rFonts w:cs="Arial"/>
        </w:rPr>
        <w:t>short-listing</w:t>
      </w:r>
      <w:proofErr w:type="gramEnd"/>
      <w:r w:rsidRPr="008F59BA">
        <w:rPr>
          <w:rFonts w:cs="Arial"/>
        </w:rPr>
        <w:t xml:space="preserve"> or a ranking exercise may take place. A ranking exercise is an assessment that </w:t>
      </w:r>
      <w:r w:rsidRPr="008F59BA">
        <w:rPr>
          <w:rFonts w:cs="Arial"/>
          <w:color w:val="000000"/>
        </w:rPr>
        <w:t xml:space="preserve">may be carried out </w:t>
      </w:r>
      <w:proofErr w:type="gramStart"/>
      <w:r w:rsidRPr="008F59BA">
        <w:rPr>
          <w:rFonts w:cs="Arial"/>
          <w:color w:val="000000"/>
        </w:rPr>
        <w:t>on the basis of</w:t>
      </w:r>
      <w:proofErr w:type="gramEnd"/>
      <w:r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w:t>
      </w:r>
      <w:proofErr w:type="spellStart"/>
      <w:r w:rsidR="004F1403" w:rsidRPr="004F1403">
        <w:rPr>
          <w:rFonts w:cs="Arial"/>
          <w:bCs/>
        </w:rPr>
        <w:t>e.g</w:t>
      </w:r>
      <w:proofErr w:type="spellEnd"/>
      <w:r w:rsidR="004F1403" w:rsidRPr="004F1403">
        <w:rPr>
          <w:rFonts w:cs="Arial"/>
          <w:bCs/>
        </w:rPr>
        <w:t xml:space="preserve">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 xml:space="preserve">Please note that no panel will be formed </w:t>
      </w:r>
      <w:proofErr w:type="gramStart"/>
      <w:r w:rsidRPr="004F1403">
        <w:rPr>
          <w:rFonts w:cs="Arial"/>
          <w:iCs/>
        </w:rPr>
        <w:t>as a result of</w:t>
      </w:r>
      <w:proofErr w:type="gramEnd"/>
      <w:r w:rsidRPr="004F1403">
        <w:rPr>
          <w:rFonts w:cs="Arial"/>
          <w:iCs/>
        </w:rPr>
        <w:t xml:space="preserve">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w:t>
      </w:r>
      <w:proofErr w:type="gramStart"/>
      <w:r w:rsidRPr="009E17D8">
        <w:rPr>
          <w:rFonts w:cs="Arial"/>
        </w:rPr>
        <w:t>time lines</w:t>
      </w:r>
      <w:proofErr w:type="gramEnd"/>
      <w:r w:rsidRPr="009E17D8">
        <w:rPr>
          <w:rFonts w:cs="Arial"/>
        </w:rPr>
        <w:t xml:space="preserve">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5C48360F"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proofErr w:type="gramStart"/>
      <w:r w:rsidR="00580A02" w:rsidRPr="00F05046">
        <w:rPr>
          <w:iCs/>
          <w:color w:val="000000" w:themeColor="text1"/>
        </w:rPr>
        <w:t>mary.brodie@hse.ie</w:t>
      </w:r>
      <w:r w:rsidRPr="00F05046">
        <w:rPr>
          <w:iCs/>
          <w:color w:val="000000" w:themeColor="text1"/>
        </w:rPr>
        <w:t>  Please</w:t>
      </w:r>
      <w:proofErr w:type="gramEnd"/>
      <w:r w:rsidRPr="00F05046">
        <w:rPr>
          <w:iCs/>
          <w:color w:val="000000" w:themeColor="text1"/>
        </w:rPr>
        <w:t xml:space="preserv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0AD852A4"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w:t>
      </w:r>
      <w:proofErr w:type="gramStart"/>
      <w:r w:rsidR="00580A02" w:rsidRPr="00F05046">
        <w:rPr>
          <w:rFonts w:cs="Arial"/>
          <w:color w:val="000000" w:themeColor="text1"/>
        </w:rPr>
        <w:t xml:space="preserve">HSE </w:t>
      </w:r>
      <w:r w:rsidR="00E977F9" w:rsidRPr="00F05046">
        <w:rPr>
          <w:rFonts w:cs="Arial"/>
          <w:color w:val="000000" w:themeColor="text1"/>
        </w:rPr>
        <w:t xml:space="preserve"> </w:t>
      </w:r>
      <w:r w:rsidRPr="00F05046">
        <w:rPr>
          <w:rFonts w:cs="Arial"/>
          <w:color w:val="000000" w:themeColor="text1"/>
        </w:rPr>
        <w:t>will</w:t>
      </w:r>
      <w:proofErr w:type="gramEnd"/>
      <w:r w:rsidRPr="00F05046">
        <w:rPr>
          <w:rFonts w:cs="Arial"/>
          <w:color w:val="000000" w:themeColor="text1"/>
        </w:rPr>
        <w:t xml:space="preserve">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w:t>
      </w:r>
      <w:proofErr w:type="gramStart"/>
      <w:r w:rsidRPr="00F05046">
        <w:rPr>
          <w:rFonts w:cs="Arial"/>
          <w:color w:val="000000" w:themeColor="text1"/>
        </w:rPr>
        <w:t>are</w:t>
      </w:r>
      <w:proofErr w:type="gramEnd"/>
      <w:r w:rsidRPr="00F05046">
        <w:rPr>
          <w:rFonts w:cs="Arial"/>
          <w:color w:val="000000" w:themeColor="text1"/>
        </w:rPr>
        <w:t xml:space="preserv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 xml:space="preserve">It is your responsibility to ensure you have access to your emails. If you choose to use your work email </w:t>
      </w:r>
      <w:proofErr w:type="gramStart"/>
      <w:r w:rsidRPr="00F05046">
        <w:rPr>
          <w:rFonts w:cs="Arial"/>
          <w:color w:val="000000" w:themeColor="text1"/>
        </w:rPr>
        <w:t>addresses</w:t>
      </w:r>
      <w:proofErr w:type="gramEnd"/>
      <w:r w:rsidRPr="00F05046">
        <w:rPr>
          <w:rFonts w:cs="Arial"/>
          <w:color w:val="000000" w:themeColor="text1"/>
        </w:rPr>
        <w:t xml:space="preserve">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 xml:space="preserve">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72B3B6E" w14:textId="77777777" w:rsidR="00D47355" w:rsidRDefault="00D47355" w:rsidP="00284770">
      <w:pPr>
        <w:pStyle w:val="ListParagraph"/>
        <w:spacing w:line="276" w:lineRule="auto"/>
        <w:ind w:left="0"/>
        <w:jc w:val="both"/>
        <w:rPr>
          <w:rFonts w:ascii="Arial" w:hAnsi="Arial" w:cs="Arial"/>
          <w:b/>
          <w:lang w:eastAsia="zh-CN"/>
        </w:rPr>
      </w:pPr>
    </w:p>
    <w:p w14:paraId="69BC7F11" w14:textId="6CF4D20D"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F639380" w14:textId="243DF39B" w:rsidR="00284770" w:rsidRDefault="00284770" w:rsidP="00284770">
      <w:pPr>
        <w:pStyle w:val="ListParagraph"/>
        <w:spacing w:line="276" w:lineRule="auto"/>
        <w:ind w:left="0"/>
        <w:jc w:val="both"/>
        <w:rPr>
          <w:rFonts w:ascii="Arial" w:hAnsi="Arial" w:cs="Arial"/>
          <w:b/>
          <w:lang w:eastAsia="zh-CN"/>
        </w:rPr>
      </w:pPr>
    </w:p>
    <w:p w14:paraId="7FF365B2" w14:textId="77777777" w:rsidR="00D47355" w:rsidRPr="004450F8" w:rsidRDefault="00D47355" w:rsidP="00D47355">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379162E3" w14:textId="77777777" w:rsidR="00D47355" w:rsidRPr="00C14523" w:rsidRDefault="00D47355" w:rsidP="00D47355">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5F8B76CE" w14:textId="77777777" w:rsidR="00D47355" w:rsidRPr="00F01E1F" w:rsidRDefault="00D47355" w:rsidP="00D47355">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04599C99"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7CD9524D"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38374112"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3AC81500"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28DA6317" w14:textId="77777777" w:rsidR="00D47355" w:rsidRPr="00C14523"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5D1824C6"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02479B59"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101F4987"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w:t>
      </w:r>
      <w:proofErr w:type="gramStart"/>
      <w:r w:rsidRPr="00C14523">
        <w:rPr>
          <w:rFonts w:eastAsia="Calibri" w:cs="Arial"/>
          <w:i/>
          <w:lang w:eastAsia="en-US"/>
        </w:rPr>
        <w:t>Higher level</w:t>
      </w:r>
      <w:proofErr w:type="gramEnd"/>
      <w:r w:rsidRPr="00C14523">
        <w:rPr>
          <w:rFonts w:eastAsia="Calibri" w:cs="Arial"/>
          <w:i/>
          <w:lang w:eastAsia="en-US"/>
        </w:rPr>
        <w:t xml:space="preserve"> papers. A pass in a foundation level paper is not acceptable.  </w:t>
      </w:r>
    </w:p>
    <w:p w14:paraId="1B546942"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1056CFB6"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6D6B3E93" w14:textId="77777777" w:rsidR="00D47355" w:rsidRPr="00C14523" w:rsidRDefault="00D47355" w:rsidP="00D47355">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464C75DA" w14:textId="77777777" w:rsidR="00D47355" w:rsidRPr="00117580" w:rsidRDefault="00D47355" w:rsidP="00D47355">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77B7371B" w14:textId="77777777" w:rsidR="00D47355" w:rsidRDefault="00D47355" w:rsidP="00284770">
      <w:pPr>
        <w:pStyle w:val="ListParagraph"/>
        <w:spacing w:line="276" w:lineRule="auto"/>
        <w:ind w:left="0"/>
        <w:jc w:val="both"/>
        <w:rPr>
          <w:rFonts w:ascii="Arial" w:hAnsi="Arial" w:cs="Arial"/>
          <w:b/>
          <w:lang w:eastAsia="zh-CN"/>
        </w:rPr>
      </w:pPr>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6158B7" w:rsidP="006158B7">
      <w:pPr>
        <w:ind w:left="-360"/>
        <w:jc w:val="both"/>
        <w:rPr>
          <w:rFonts w:cs="Arial"/>
        </w:rPr>
      </w:pPr>
      <w:hyperlink r:id="rId11"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6158B7" w:rsidP="006158B7">
      <w:pPr>
        <w:ind w:left="-360"/>
        <w:jc w:val="both"/>
        <w:rPr>
          <w:rFonts w:cs="Arial"/>
        </w:rPr>
      </w:pPr>
      <w:hyperlink r:id="rId12" w:history="1">
        <w:r w:rsidRPr="008F59BA">
          <w:rPr>
            <w:rStyle w:val="Hyperlink"/>
            <w:rFonts w:cs="Arial"/>
          </w:rPr>
          <w:t>https://www.gov.uk/browse/working/finding-job</w:t>
        </w:r>
      </w:hyperlink>
      <w:r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6158B7" w:rsidP="006158B7">
      <w:pPr>
        <w:ind w:left="-360"/>
        <w:jc w:val="both"/>
        <w:rPr>
          <w:rFonts w:cs="Arial"/>
        </w:rPr>
      </w:pPr>
      <w:hyperlink r:id="rId1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10314C" w:rsidP="006158B7">
      <w:pPr>
        <w:ind w:left="-360"/>
        <w:jc w:val="both"/>
        <w:rPr>
          <w:rFonts w:cs="Arial"/>
        </w:rPr>
      </w:pPr>
      <w:hyperlink r:id="rId14" w:history="1">
        <w:r w:rsidRPr="00B01D88">
          <w:rPr>
            <w:rStyle w:val="Hyperlink"/>
          </w:rPr>
          <w:t>www.police.govt.nz</w:t>
        </w:r>
      </w:hyperlink>
      <w:r>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65CB" w14:textId="77777777" w:rsidR="00B34A12" w:rsidRDefault="00B34A12">
      <w:r>
        <w:separator/>
      </w:r>
    </w:p>
  </w:endnote>
  <w:endnote w:type="continuationSeparator" w:id="0">
    <w:p w14:paraId="0C4DAB34" w14:textId="77777777" w:rsidR="00B34A12" w:rsidRDefault="00B3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F7B" w14:textId="5A56EBBA"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D47355">
      <w:rPr>
        <w:rFonts w:cs="Arial"/>
        <w:noProof/>
      </w:rPr>
      <w:t>1</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2780" w14:textId="77777777" w:rsidR="00B34A12" w:rsidRDefault="00B34A12">
      <w:r>
        <w:separator/>
      </w:r>
    </w:p>
  </w:footnote>
  <w:footnote w:type="continuationSeparator" w:id="0">
    <w:p w14:paraId="67D1D881" w14:textId="77777777" w:rsidR="00B34A12" w:rsidRDefault="00B3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5"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28095998">
    <w:abstractNumId w:val="1"/>
  </w:num>
  <w:num w:numId="2" w16cid:durableId="788356670">
    <w:abstractNumId w:val="16"/>
  </w:num>
  <w:num w:numId="3" w16cid:durableId="317880184">
    <w:abstractNumId w:val="8"/>
  </w:num>
  <w:num w:numId="4" w16cid:durableId="91097150">
    <w:abstractNumId w:val="2"/>
  </w:num>
  <w:num w:numId="5" w16cid:durableId="345642000">
    <w:abstractNumId w:val="23"/>
  </w:num>
  <w:num w:numId="6" w16cid:durableId="584607223">
    <w:abstractNumId w:val="25"/>
  </w:num>
  <w:num w:numId="7" w16cid:durableId="1109156565">
    <w:abstractNumId w:val="9"/>
  </w:num>
  <w:num w:numId="8" w16cid:durableId="2046903956">
    <w:abstractNumId w:val="22"/>
  </w:num>
  <w:num w:numId="9" w16cid:durableId="1171137703">
    <w:abstractNumId w:val="3"/>
  </w:num>
  <w:num w:numId="10" w16cid:durableId="1286081351">
    <w:abstractNumId w:val="10"/>
  </w:num>
  <w:num w:numId="11" w16cid:durableId="691227953">
    <w:abstractNumId w:val="7"/>
  </w:num>
  <w:num w:numId="12" w16cid:durableId="1411464686">
    <w:abstractNumId w:val="24"/>
  </w:num>
  <w:num w:numId="13" w16cid:durableId="1265530004">
    <w:abstractNumId w:val="17"/>
  </w:num>
  <w:num w:numId="14" w16cid:durableId="1797678554">
    <w:abstractNumId w:val="28"/>
  </w:num>
  <w:num w:numId="15" w16cid:durableId="1739399265">
    <w:abstractNumId w:val="6"/>
  </w:num>
  <w:num w:numId="16" w16cid:durableId="1880047791">
    <w:abstractNumId w:val="14"/>
  </w:num>
  <w:num w:numId="17" w16cid:durableId="316500706">
    <w:abstractNumId w:val="12"/>
  </w:num>
  <w:num w:numId="18" w16cid:durableId="1740441349">
    <w:abstractNumId w:val="11"/>
  </w:num>
  <w:num w:numId="19" w16cid:durableId="1277758877">
    <w:abstractNumId w:val="20"/>
  </w:num>
  <w:num w:numId="20" w16cid:durableId="1078211870">
    <w:abstractNumId w:val="18"/>
  </w:num>
  <w:num w:numId="21" w16cid:durableId="806508700">
    <w:abstractNumId w:val="19"/>
  </w:num>
  <w:num w:numId="22" w16cid:durableId="1678072368">
    <w:abstractNumId w:val="26"/>
  </w:num>
  <w:num w:numId="23" w16cid:durableId="318732016">
    <w:abstractNumId w:val="21"/>
  </w:num>
  <w:num w:numId="24" w16cid:durableId="2133673024">
    <w:abstractNumId w:val="0"/>
  </w:num>
  <w:num w:numId="25" w16cid:durableId="1586379871">
    <w:abstractNumId w:val="4"/>
  </w:num>
  <w:num w:numId="26" w16cid:durableId="703944947">
    <w:abstractNumId w:val="15"/>
  </w:num>
  <w:num w:numId="27" w16cid:durableId="231697262">
    <w:abstractNumId w:val="5"/>
  </w:num>
  <w:num w:numId="28" w16cid:durableId="1254246471">
    <w:abstractNumId w:val="13"/>
  </w:num>
  <w:num w:numId="29" w16cid:durableId="66567008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794"/>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008"/>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34A12"/>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72A5"/>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355"/>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993"/>
    <w:rsid w:val="00E34C62"/>
    <w:rsid w:val="00E363F3"/>
    <w:rsid w:val="00E530DF"/>
    <w:rsid w:val="00E62341"/>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3AC36-FD46-4A31-8452-511EC630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23695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Jennifer Magee</cp:lastModifiedBy>
  <cp:revision>5</cp:revision>
  <cp:lastPrinted>2020-03-25T10:41:00Z</cp:lastPrinted>
  <dcterms:created xsi:type="dcterms:W3CDTF">2026-01-18T16:34:00Z</dcterms:created>
  <dcterms:modified xsi:type="dcterms:W3CDTF">2026-03-02T15:40:00Z</dcterms:modified>
</cp:coreProperties>
</file>