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DF3037">
      <w:pPr>
        <w:framePr w:h="2791" w:hRule="exact" w:hSpace="180" w:wrap="around" w:vAnchor="text" w:hAnchor="page" w:x="1096" w:y="-383"/>
        <w:ind w:left="720" w:hanging="720"/>
      </w:pPr>
      <w:r>
        <w:t xml:space="preserve">                           </w:t>
      </w:r>
    </w:p>
    <w:p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rsidR="001D09DA" w:rsidRDefault="001D09DA" w:rsidP="00D130D8">
      <w:pPr>
        <w:framePr w:h="2791" w:hRule="exact" w:hSpace="180" w:wrap="around" w:vAnchor="text" w:hAnchor="page" w:x="1096" w:y="-383"/>
        <w:ind w:left="1800" w:hanging="720"/>
      </w:pPr>
    </w:p>
    <w:p w:rsidR="001D09DA" w:rsidRDefault="003052F5" w:rsidP="00B14C43">
      <w:pP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p>
    <w:p w:rsidR="001A519A" w:rsidRPr="00710AE3" w:rsidRDefault="001A519A" w:rsidP="001A519A">
      <w:pPr>
        <w:jc w:val="center"/>
        <w:rPr>
          <w:rFonts w:eastAsia="Arial"/>
          <w:b/>
          <w:bCs/>
        </w:rPr>
      </w:pPr>
      <w:r w:rsidRPr="001A519A">
        <w:rPr>
          <w:rFonts w:cs="Arial"/>
          <w:b/>
        </w:rPr>
        <w:t>Additional Campaign Information</w:t>
      </w:r>
    </w:p>
    <w:p w:rsidR="00BA61BE" w:rsidRPr="00710AE3" w:rsidRDefault="00BA61BE" w:rsidP="00BA61BE">
      <w:pPr>
        <w:jc w:val="center"/>
        <w:rPr>
          <w:rFonts w:eastAsia="Arial"/>
          <w:b/>
          <w:bCs/>
        </w:rPr>
      </w:pPr>
      <w:r w:rsidRPr="0073655F">
        <w:rPr>
          <w:rFonts w:eastAsia="Arial"/>
          <w:b/>
          <w:bCs/>
        </w:rPr>
        <w:t>N</w:t>
      </w:r>
      <w:r w:rsidR="00565308">
        <w:rPr>
          <w:rFonts w:eastAsia="Arial"/>
          <w:b/>
          <w:bCs/>
        </w:rPr>
        <w:t>FMHSDON2</w:t>
      </w:r>
      <w:r w:rsidR="00EB0DE2">
        <w:rPr>
          <w:rFonts w:eastAsia="Arial"/>
          <w:b/>
          <w:bCs/>
        </w:rPr>
        <w:t>,</w:t>
      </w:r>
      <w:r w:rsidR="00565308">
        <w:rPr>
          <w:rFonts w:eastAsia="Arial"/>
          <w:b/>
          <w:bCs/>
        </w:rPr>
        <w:t xml:space="preserve"> Director of Nursing, Forensic</w:t>
      </w:r>
      <w:r w:rsidR="00EB0DE2">
        <w:rPr>
          <w:rFonts w:eastAsia="Arial"/>
          <w:b/>
          <w:bCs/>
        </w:rPr>
        <w:t xml:space="preserve"> Mental Health </w:t>
      </w:r>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565308" w:rsidP="004F33CF">
      <w:pPr>
        <w:numPr>
          <w:ilvl w:val="0"/>
          <w:numId w:val="4"/>
        </w:numPr>
        <w:jc w:val="both"/>
        <w:rPr>
          <w:rFonts w:cs="Arial"/>
          <w:color w:val="000000" w:themeColor="text1"/>
        </w:rPr>
      </w:pPr>
      <w:hyperlink r:id="rId8" w:history="1">
        <w:r w:rsidR="00024889" w:rsidRPr="007F4EBD">
          <w:rPr>
            <w:rStyle w:val="Hyperlink"/>
            <w:rFonts w:cs="Arial"/>
          </w:rPr>
          <w:t>recruitment.nfmhs@hse.ie</w:t>
        </w:r>
      </w:hyperlink>
      <w:r w:rsidR="00024889">
        <w:rPr>
          <w:rFonts w:cs="Arial"/>
        </w:rPr>
        <w:t xml:space="preserve"> </w:t>
      </w:r>
      <w:r w:rsidR="006158B7" w:rsidRPr="008F59BA">
        <w:rPr>
          <w:rFonts w:cs="Arial"/>
        </w:rPr>
        <w:t>can only accept complete applications received by the closing date and time</w:t>
      </w:r>
      <w:r w:rsidR="006D658B">
        <w:rPr>
          <w:rFonts w:cs="Arial"/>
        </w:rPr>
        <w:t xml:space="preserve"> of </w:t>
      </w:r>
      <w:r>
        <w:rPr>
          <w:rFonts w:cs="Arial"/>
          <w:b/>
          <w:color w:val="FF0000"/>
        </w:rPr>
        <w:t>Wednesday 13</w:t>
      </w:r>
      <w:r w:rsidRPr="00565308">
        <w:rPr>
          <w:rFonts w:cs="Arial"/>
          <w:b/>
          <w:color w:val="FF0000"/>
          <w:vertAlign w:val="superscript"/>
        </w:rPr>
        <w:t>th</w:t>
      </w:r>
      <w:r>
        <w:rPr>
          <w:rFonts w:cs="Arial"/>
          <w:b/>
          <w:color w:val="FF0000"/>
        </w:rPr>
        <w:t xml:space="preserve"> May</w:t>
      </w:r>
      <w:r w:rsidR="00C97983">
        <w:rPr>
          <w:rFonts w:cs="Arial"/>
          <w:b/>
          <w:color w:val="FF0000"/>
        </w:rPr>
        <w:t xml:space="preserve"> 2026</w:t>
      </w:r>
      <w:r w:rsidR="006D658B" w:rsidRPr="002C2C6C">
        <w:rPr>
          <w:rFonts w:cs="Arial"/>
          <w:b/>
          <w:color w:val="FF0000"/>
        </w:rPr>
        <w:t xml:space="preserve"> at 12pm</w:t>
      </w:r>
      <w:r w:rsidR="002055DD" w:rsidRPr="006D658B">
        <w:rPr>
          <w:rStyle w:val="normaltextrun"/>
          <w:b/>
          <w:bCs/>
          <w:shd w:val="clear" w:color="auto" w:fill="FFFFFF"/>
        </w:rPr>
        <w:t xml:space="preserve">. </w:t>
      </w:r>
      <w:r w:rsidR="00C95B23" w:rsidRPr="00C95B23">
        <w:rPr>
          <w:rFonts w:cs="Arial"/>
          <w:color w:val="000000" w:themeColor="text1"/>
        </w:rPr>
        <w:t xml:space="preserve">If you submit more than one </w:t>
      </w:r>
      <w:r w:rsidR="003D6286" w:rsidRPr="00C95B23">
        <w:rPr>
          <w:rFonts w:cs="Arial"/>
          <w:color w:val="000000" w:themeColor="text1"/>
        </w:rPr>
        <w:t>application,</w:t>
      </w:r>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565308" w:rsidP="00287E27">
      <w:pPr>
        <w:pStyle w:val="NormalWeb"/>
        <w:rPr>
          <w:rFonts w:ascii="Arial" w:eastAsia="Times New Roman" w:hAnsi="Arial" w:cs="Arial"/>
          <w:bCs/>
          <w:sz w:val="20"/>
          <w:szCs w:val="20"/>
        </w:rPr>
      </w:pPr>
      <w:hyperlink r:id="rId9"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275506"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275506" w:rsidRDefault="00275506" w:rsidP="006C3390">
      <w:pPr>
        <w:tabs>
          <w:tab w:val="left" w:pos="0"/>
        </w:tabs>
        <w:autoSpaceDE w:val="0"/>
        <w:autoSpaceDN w:val="0"/>
        <w:adjustRightInd w:val="0"/>
        <w:jc w:val="both"/>
      </w:pPr>
    </w:p>
    <w:p w:rsidR="00275506" w:rsidRDefault="00275506" w:rsidP="006C3390">
      <w:pPr>
        <w:tabs>
          <w:tab w:val="left" w:pos="0"/>
        </w:tabs>
        <w:autoSpaceDE w:val="0"/>
        <w:autoSpaceDN w:val="0"/>
        <w:adjustRightInd w:val="0"/>
        <w:jc w:val="both"/>
      </w:pPr>
    </w:p>
    <w:p w:rsidR="00275506" w:rsidRPr="00B45A52" w:rsidRDefault="00275506"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D34E9A">
        <w:rPr>
          <w:rFonts w:cs="Arial"/>
        </w:rPr>
        <w:t xml:space="preserve">the HR Department National Forensic Mental Health Service.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0"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1"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2" w:history="1">
        <w:r w:rsidRPr="00B01D88">
          <w:rPr>
            <w:rStyle w:val="Hyperlink"/>
            <w:rFonts w:cs="Arial"/>
          </w:rPr>
          <w:t>https://www.hse.ie/eng/gdpr</w:t>
        </w:r>
      </w:hyperlink>
      <w:r>
        <w:rPr>
          <w:rFonts w:cs="Arial"/>
          <w:color w:val="000000"/>
        </w:rPr>
        <w:t xml:space="preserve"> </w:t>
      </w:r>
    </w:p>
    <w:p w:rsidR="003E2F1B" w:rsidRPr="003E2F1B" w:rsidRDefault="00D34E9A" w:rsidP="003E2F1B">
      <w:pPr>
        <w:pStyle w:val="ListParagraph"/>
        <w:numPr>
          <w:ilvl w:val="0"/>
          <w:numId w:val="1"/>
        </w:numPr>
        <w:shd w:val="clear" w:color="auto" w:fill="D9D9D9"/>
        <w:jc w:val="both"/>
        <w:rPr>
          <w:rFonts w:ascii="Arial" w:hAnsi="Arial" w:cs="Arial"/>
          <w:b/>
        </w:rPr>
      </w:pPr>
      <w:r>
        <w:rPr>
          <w:rFonts w:ascii="Arial" w:hAnsi="Arial" w:cs="Arial"/>
          <w:b/>
        </w:rPr>
        <w:t xml:space="preserve">How to contact NFMHS </w:t>
      </w:r>
      <w:r w:rsidR="003E2F1B">
        <w:rPr>
          <w:rFonts w:ascii="Arial" w:hAnsi="Arial" w:cs="Arial"/>
          <w:b/>
        </w:rPr>
        <w:t>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3" w:history="1">
        <w:r w:rsidR="00BB5A25" w:rsidRPr="00BB5A25">
          <w:rPr>
            <w:rStyle w:val="Hyperlink"/>
            <w:rFonts w:ascii="Arial" w:hAnsi="Arial" w:cs="Arial"/>
            <w:sz w:val="20"/>
          </w:rPr>
          <w:t>recruitment.nfmhs@hse.ie</w:t>
        </w:r>
      </w:hyperlink>
      <w:r w:rsidR="00BB5A25" w:rsidRPr="00BB5A25">
        <w:rPr>
          <w:sz w:val="20"/>
        </w:rPr>
        <w:t xml:space="preserve"> </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For queries specifically relating to the </w:t>
      </w:r>
      <w:r w:rsidR="00BB5A25" w:rsidRPr="003E2F1B">
        <w:rPr>
          <w:rFonts w:ascii="Arial" w:eastAsia="Times New Roman" w:hAnsi="Arial" w:cs="Arial"/>
          <w:sz w:val="20"/>
          <w:szCs w:val="20"/>
        </w:rPr>
        <w:t>role,</w:t>
      </w:r>
      <w:r w:rsidRPr="003E2F1B">
        <w:rPr>
          <w:rFonts w:ascii="Arial" w:eastAsia="Times New Roman" w:hAnsi="Arial" w:cs="Arial"/>
          <w:sz w:val="20"/>
          <w:szCs w:val="20"/>
        </w:rPr>
        <w:t xml:space="preserve"> please contact</w:t>
      </w:r>
      <w:bookmarkStart w:id="0" w:name="_GoBack"/>
      <w:bookmarkEnd w:id="0"/>
      <w:r w:rsidRPr="003E2F1B">
        <w:rPr>
          <w:rFonts w:ascii="Arial" w:eastAsia="Times New Roman" w:hAnsi="Arial" w:cs="Arial"/>
          <w:sz w:val="20"/>
          <w:szCs w:val="20"/>
        </w:rPr>
        <w:t xml:space="preserve">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Default="006158B7" w:rsidP="006158B7">
      <w:pPr>
        <w:rPr>
          <w:rFonts w:cs="Arial"/>
        </w:rPr>
      </w:pPr>
    </w:p>
    <w:p w:rsidR="00B45A52" w:rsidRDefault="00B45A52" w:rsidP="00B45A52">
      <w:pPr>
        <w:jc w:val="center"/>
        <w:rPr>
          <w:rFonts w:cs="Arial"/>
          <w:b/>
          <w:bCs/>
          <w:u w:val="single"/>
        </w:rPr>
      </w:pPr>
      <w:r w:rsidRPr="00B45A52">
        <w:rPr>
          <w:rFonts w:cs="Arial"/>
          <w:b/>
          <w:bCs/>
          <w:u w:val="single"/>
        </w:rPr>
        <w:t xml:space="preserve">Eligibility Criteria </w:t>
      </w:r>
      <w:r>
        <w:rPr>
          <w:rFonts w:cs="Arial"/>
          <w:b/>
          <w:bCs/>
          <w:u w:val="single"/>
        </w:rPr>
        <w:t>Qualifications and/ or E</w:t>
      </w:r>
      <w:r w:rsidRPr="00B45A52">
        <w:rPr>
          <w:rFonts w:cs="Arial"/>
          <w:b/>
          <w:bCs/>
          <w:u w:val="single"/>
        </w:rPr>
        <w:t>xperience</w:t>
      </w:r>
    </w:p>
    <w:p w:rsidR="00087059" w:rsidRPr="00B45A52" w:rsidRDefault="00087059" w:rsidP="00B45A52">
      <w:pPr>
        <w:jc w:val="center"/>
        <w:rPr>
          <w:rFonts w:cs="Arial"/>
          <w:b/>
          <w:bCs/>
          <w:u w:val="single"/>
        </w:rPr>
      </w:pPr>
    </w:p>
    <w:p w:rsidR="00565308" w:rsidRDefault="00565308" w:rsidP="00565308">
      <w:pPr>
        <w:rPr>
          <w:rFonts w:cs="Arial"/>
          <w:b/>
          <w:u w:val="single"/>
        </w:rPr>
      </w:pPr>
    </w:p>
    <w:p w:rsidR="00565308" w:rsidRDefault="00565308" w:rsidP="00565308">
      <w:pPr>
        <w:rPr>
          <w:rFonts w:cs="Arial"/>
          <w:b/>
          <w:u w:val="single"/>
        </w:rPr>
      </w:pPr>
      <w:r>
        <w:rPr>
          <w:rFonts w:cs="Arial"/>
          <w:b/>
          <w:u w:val="single"/>
        </w:rPr>
        <w:t>1.</w:t>
      </w:r>
      <w:r w:rsidRPr="0068491B">
        <w:rPr>
          <w:rFonts w:cs="Arial"/>
          <w:b/>
          <w:u w:val="single"/>
        </w:rPr>
        <w:t xml:space="preserve"> Eligible applicants will be those who on the closing date for the competition:</w:t>
      </w:r>
    </w:p>
    <w:p w:rsidR="00565308" w:rsidRDefault="00565308" w:rsidP="00565308">
      <w:pPr>
        <w:rPr>
          <w:rFonts w:cs="Arial"/>
          <w:b/>
          <w:u w:val="single"/>
        </w:rPr>
      </w:pPr>
    </w:p>
    <w:p w:rsidR="00565308" w:rsidRPr="00E60A5E" w:rsidRDefault="00565308" w:rsidP="00565308">
      <w:pPr>
        <w:rPr>
          <w:rFonts w:cs="Arial"/>
          <w:u w:val="single"/>
        </w:rPr>
      </w:pPr>
      <w:r w:rsidRPr="00E60A5E">
        <w:rPr>
          <w:rFonts w:cs="Arial"/>
          <w:u w:val="single"/>
        </w:rPr>
        <w:t>(a)</w:t>
      </w:r>
    </w:p>
    <w:p w:rsidR="00565308" w:rsidRDefault="00565308" w:rsidP="00565308">
      <w:pPr>
        <w:ind w:left="408"/>
        <w:rPr>
          <w:rFonts w:cs="Arial"/>
          <w:bCs/>
          <w:iCs/>
        </w:rPr>
      </w:pPr>
      <w:r w:rsidRPr="00B025DF">
        <w:rPr>
          <w:rFonts w:cs="Arial"/>
          <w:bCs/>
          <w:iCs/>
        </w:rPr>
        <w:t>(</w:t>
      </w:r>
      <w:proofErr w:type="spellStart"/>
      <w:r w:rsidRPr="00B025DF">
        <w:rPr>
          <w:rFonts w:cs="Arial"/>
          <w:bCs/>
          <w:iCs/>
        </w:rPr>
        <w:t>i</w:t>
      </w:r>
      <w:proofErr w:type="spellEnd"/>
      <w:r w:rsidRPr="00B025DF">
        <w:rPr>
          <w:rFonts w:cs="Arial"/>
          <w:bCs/>
          <w:iCs/>
        </w:rPr>
        <w:t xml:space="preserve">) </w:t>
      </w:r>
      <w:r>
        <w:rPr>
          <w:rFonts w:cs="Arial"/>
          <w:bCs/>
          <w:iCs/>
        </w:rPr>
        <w:t xml:space="preserve">Are registered or are eligible for registration in the Psychiatric Division of the </w:t>
      </w:r>
    </w:p>
    <w:p w:rsidR="00565308" w:rsidRDefault="00565308" w:rsidP="00565308">
      <w:pPr>
        <w:ind w:left="408"/>
        <w:rPr>
          <w:rFonts w:cs="Arial"/>
          <w:bCs/>
          <w:iCs/>
        </w:rPr>
      </w:pPr>
      <w:r>
        <w:rPr>
          <w:rFonts w:cs="Arial"/>
          <w:bCs/>
          <w:iCs/>
        </w:rPr>
        <w:t xml:space="preserve">    Register of </w:t>
      </w:r>
      <w:proofErr w:type="gramStart"/>
      <w:r>
        <w:rPr>
          <w:rFonts w:cs="Arial"/>
          <w:bCs/>
          <w:iCs/>
        </w:rPr>
        <w:t>Nurses &amp;</w:t>
      </w:r>
      <w:proofErr w:type="gramEnd"/>
      <w:r>
        <w:rPr>
          <w:rFonts w:cs="Arial"/>
          <w:bCs/>
          <w:iCs/>
        </w:rPr>
        <w:t xml:space="preserve"> Midwives maintained by the Nursing and Midwifery Board of </w:t>
      </w:r>
    </w:p>
    <w:p w:rsidR="00565308" w:rsidRPr="00030003" w:rsidRDefault="00565308" w:rsidP="00565308">
      <w:pPr>
        <w:ind w:left="408"/>
        <w:rPr>
          <w:rFonts w:cs="Arial"/>
          <w:bCs/>
          <w:iCs/>
          <w:lang w:val="fr-FR"/>
        </w:rPr>
      </w:pPr>
      <w:r>
        <w:rPr>
          <w:rFonts w:cs="Arial"/>
          <w:bCs/>
          <w:iCs/>
        </w:rPr>
        <w:t xml:space="preserve">    </w:t>
      </w:r>
      <w:r w:rsidRPr="00030003">
        <w:rPr>
          <w:rFonts w:cs="Arial"/>
          <w:bCs/>
          <w:iCs/>
          <w:lang w:val="fr-FR"/>
        </w:rPr>
        <w:t xml:space="preserve">Ireland (Bord </w:t>
      </w:r>
      <w:proofErr w:type="spellStart"/>
      <w:r w:rsidRPr="00030003">
        <w:rPr>
          <w:rFonts w:cs="Arial"/>
          <w:bCs/>
          <w:iCs/>
          <w:lang w:val="fr-FR"/>
        </w:rPr>
        <w:t>Altranais</w:t>
      </w:r>
      <w:proofErr w:type="spellEnd"/>
      <w:r w:rsidRPr="00030003">
        <w:rPr>
          <w:rFonts w:cs="Arial"/>
          <w:bCs/>
          <w:iCs/>
          <w:lang w:val="fr-FR"/>
        </w:rPr>
        <w:t xml:space="preserve"> </w:t>
      </w:r>
      <w:proofErr w:type="spellStart"/>
      <w:r w:rsidRPr="00030003">
        <w:rPr>
          <w:rFonts w:cs="Arial"/>
          <w:bCs/>
          <w:iCs/>
          <w:lang w:val="fr-FR"/>
        </w:rPr>
        <w:t>agus</w:t>
      </w:r>
      <w:proofErr w:type="spellEnd"/>
      <w:r w:rsidRPr="00030003">
        <w:rPr>
          <w:rFonts w:cs="Arial"/>
          <w:bCs/>
          <w:iCs/>
          <w:lang w:val="fr-FR"/>
        </w:rPr>
        <w:t xml:space="preserve"> </w:t>
      </w:r>
      <w:proofErr w:type="spellStart"/>
      <w:r w:rsidRPr="00030003">
        <w:rPr>
          <w:rFonts w:cs="Arial"/>
          <w:lang w:val="fr-FR"/>
        </w:rPr>
        <w:t>Cnáimhseachais</w:t>
      </w:r>
      <w:proofErr w:type="spellEnd"/>
      <w:r w:rsidRPr="00030003">
        <w:rPr>
          <w:rFonts w:cs="Arial"/>
          <w:lang w:val="fr-FR"/>
        </w:rPr>
        <w:t xml:space="preserve"> na </w:t>
      </w:r>
      <w:proofErr w:type="spellStart"/>
      <w:r w:rsidRPr="00030003">
        <w:rPr>
          <w:rFonts w:cs="Arial"/>
          <w:lang w:val="fr-FR"/>
        </w:rPr>
        <w:t>hÉireann</w:t>
      </w:r>
      <w:proofErr w:type="spellEnd"/>
      <w:r w:rsidRPr="00030003">
        <w:rPr>
          <w:rFonts w:cs="Arial"/>
          <w:lang w:val="fr-FR"/>
        </w:rPr>
        <w:t>).</w:t>
      </w:r>
    </w:p>
    <w:p w:rsidR="00565308" w:rsidRPr="00030003" w:rsidRDefault="00565308" w:rsidP="00565308">
      <w:pPr>
        <w:ind w:left="408"/>
        <w:rPr>
          <w:rFonts w:cs="Arial"/>
          <w:bCs/>
          <w:iCs/>
          <w:sz w:val="12"/>
          <w:szCs w:val="12"/>
          <w:lang w:val="fr-FR"/>
        </w:rPr>
      </w:pPr>
    </w:p>
    <w:p w:rsidR="00565308" w:rsidRPr="000E4193" w:rsidRDefault="00565308" w:rsidP="00565308">
      <w:pPr>
        <w:ind w:left="408"/>
        <w:rPr>
          <w:rFonts w:cs="Arial"/>
          <w:b/>
          <w:bCs/>
          <w:iCs/>
        </w:rPr>
      </w:pPr>
      <w:r w:rsidRPr="000E4193">
        <w:rPr>
          <w:rFonts w:cs="Arial"/>
          <w:b/>
          <w:bCs/>
          <w:iCs/>
        </w:rPr>
        <w:t>And</w:t>
      </w:r>
    </w:p>
    <w:p w:rsidR="00565308" w:rsidRPr="000E4193" w:rsidRDefault="00565308" w:rsidP="00565308">
      <w:pPr>
        <w:ind w:left="408"/>
        <w:rPr>
          <w:rFonts w:cs="Arial"/>
          <w:bCs/>
          <w:iCs/>
          <w:sz w:val="12"/>
          <w:szCs w:val="12"/>
        </w:rPr>
      </w:pPr>
    </w:p>
    <w:p w:rsidR="00565308" w:rsidRPr="00E60A5E" w:rsidRDefault="00565308" w:rsidP="00565308">
      <w:pPr>
        <w:ind w:left="631" w:hanging="283"/>
        <w:rPr>
          <w:rFonts w:cs="Arial"/>
          <w:bCs/>
          <w:iCs/>
        </w:rPr>
      </w:pPr>
      <w:r w:rsidRPr="00E60A5E">
        <w:rPr>
          <w:rFonts w:cs="Arial"/>
          <w:bCs/>
          <w:iCs/>
        </w:rPr>
        <w:t>(</w:t>
      </w:r>
      <w:proofErr w:type="gramStart"/>
      <w:r w:rsidRPr="00E60A5E">
        <w:rPr>
          <w:rFonts w:cs="Arial"/>
          <w:bCs/>
          <w:iCs/>
        </w:rPr>
        <w:t>ii</w:t>
      </w:r>
      <w:proofErr w:type="gramEnd"/>
      <w:r w:rsidRPr="00E60A5E">
        <w:rPr>
          <w:rFonts w:cs="Arial"/>
          <w:bCs/>
          <w:iCs/>
        </w:rPr>
        <w:t xml:space="preserve">) Have ten years post registration psychiatric nursing experience and five years </w:t>
      </w:r>
    </w:p>
    <w:p w:rsidR="00565308" w:rsidRPr="00E60A5E" w:rsidRDefault="00565308" w:rsidP="00565308">
      <w:pPr>
        <w:ind w:left="631" w:hanging="283"/>
        <w:rPr>
          <w:rFonts w:cs="Arial"/>
          <w:bCs/>
          <w:iCs/>
        </w:rPr>
      </w:pPr>
      <w:r w:rsidRPr="00E60A5E">
        <w:rPr>
          <w:rFonts w:cs="Arial"/>
          <w:bCs/>
          <w:iCs/>
        </w:rPr>
        <w:t xml:space="preserve">     </w:t>
      </w:r>
      <w:proofErr w:type="gramStart"/>
      <w:r w:rsidRPr="00E60A5E">
        <w:rPr>
          <w:rFonts w:cs="Arial"/>
          <w:bCs/>
          <w:iCs/>
        </w:rPr>
        <w:t>psychiatric</w:t>
      </w:r>
      <w:proofErr w:type="gramEnd"/>
      <w:r w:rsidRPr="00E60A5E">
        <w:rPr>
          <w:rFonts w:cs="Arial"/>
          <w:bCs/>
          <w:iCs/>
        </w:rPr>
        <w:t xml:space="preserve"> nursing management experience of which two should be at a minimum of Clinical Nurse Manager 3 level.</w:t>
      </w:r>
    </w:p>
    <w:p w:rsidR="00565308" w:rsidRPr="000E4193" w:rsidRDefault="00565308" w:rsidP="00565308">
      <w:pPr>
        <w:ind w:left="408"/>
        <w:rPr>
          <w:rFonts w:cs="Arial"/>
          <w:bCs/>
          <w:iCs/>
          <w:sz w:val="12"/>
          <w:szCs w:val="12"/>
        </w:rPr>
      </w:pPr>
    </w:p>
    <w:p w:rsidR="00565308" w:rsidRPr="000E4193" w:rsidRDefault="00565308" w:rsidP="00565308">
      <w:pPr>
        <w:ind w:left="408"/>
        <w:rPr>
          <w:rFonts w:cs="Arial"/>
          <w:b/>
          <w:bCs/>
          <w:iCs/>
        </w:rPr>
      </w:pPr>
      <w:r w:rsidRPr="000E4193">
        <w:rPr>
          <w:rFonts w:cs="Arial"/>
          <w:b/>
          <w:bCs/>
          <w:iCs/>
        </w:rPr>
        <w:t>And</w:t>
      </w:r>
    </w:p>
    <w:p w:rsidR="00565308" w:rsidRPr="000E4193" w:rsidRDefault="00565308" w:rsidP="00565308">
      <w:pPr>
        <w:ind w:left="408"/>
        <w:rPr>
          <w:rFonts w:cs="Arial"/>
          <w:bCs/>
          <w:iCs/>
          <w:sz w:val="12"/>
          <w:szCs w:val="12"/>
        </w:rPr>
      </w:pPr>
    </w:p>
    <w:p w:rsidR="00565308" w:rsidRPr="00A27F08" w:rsidRDefault="00565308" w:rsidP="00565308">
      <w:pPr>
        <w:ind w:left="408"/>
        <w:rPr>
          <w:rFonts w:cs="Arial"/>
          <w:bCs/>
          <w:iCs/>
        </w:rPr>
      </w:pPr>
      <w:r w:rsidRPr="000E4193">
        <w:rPr>
          <w:rFonts w:cs="Arial"/>
          <w:bCs/>
          <w:iCs/>
        </w:rPr>
        <w:t xml:space="preserve">(iii) </w:t>
      </w:r>
      <w:r w:rsidRPr="00A27F08">
        <w:rPr>
          <w:rFonts w:cs="Arial"/>
          <w:bCs/>
          <w:iCs/>
        </w:rPr>
        <w:t>Have successfully completed a post registration programme of study, as</w:t>
      </w:r>
    </w:p>
    <w:p w:rsidR="00565308" w:rsidRPr="00A27F08" w:rsidRDefault="00565308" w:rsidP="00565308">
      <w:pPr>
        <w:ind w:left="408"/>
        <w:rPr>
          <w:rFonts w:cs="Arial"/>
          <w:bCs/>
          <w:iCs/>
        </w:rPr>
      </w:pPr>
      <w:proofErr w:type="gramStart"/>
      <w:r w:rsidRPr="00A27F08">
        <w:rPr>
          <w:rFonts w:cs="Arial"/>
          <w:bCs/>
          <w:iCs/>
        </w:rPr>
        <w:t>certified</w:t>
      </w:r>
      <w:proofErr w:type="gramEnd"/>
      <w:r w:rsidRPr="00A27F08">
        <w:rPr>
          <w:rFonts w:cs="Arial"/>
          <w:bCs/>
          <w:iCs/>
        </w:rPr>
        <w:t xml:space="preserve"> by the education provider, which verified that the applicant has</w:t>
      </w:r>
    </w:p>
    <w:p w:rsidR="00565308" w:rsidRPr="00A27F08" w:rsidRDefault="00565308" w:rsidP="00565308">
      <w:pPr>
        <w:ind w:left="408"/>
        <w:rPr>
          <w:rFonts w:cs="Arial"/>
          <w:bCs/>
          <w:iCs/>
        </w:rPr>
      </w:pPr>
      <w:proofErr w:type="gramStart"/>
      <w:r w:rsidRPr="00A27F08">
        <w:rPr>
          <w:rFonts w:cs="Arial"/>
          <w:bCs/>
          <w:iCs/>
        </w:rPr>
        <w:t>achieved</w:t>
      </w:r>
      <w:proofErr w:type="gramEnd"/>
      <w:r w:rsidRPr="00A27F08">
        <w:rPr>
          <w:rFonts w:cs="Arial"/>
          <w:bCs/>
          <w:iCs/>
        </w:rPr>
        <w:t xml:space="preserve"> a National Framework of Qualifications (NFQ) major academic Level</w:t>
      </w:r>
    </w:p>
    <w:p w:rsidR="00565308" w:rsidRPr="00A27F08" w:rsidRDefault="00565308" w:rsidP="00565308">
      <w:pPr>
        <w:ind w:left="408"/>
        <w:rPr>
          <w:rFonts w:cs="Arial"/>
          <w:bCs/>
          <w:iCs/>
        </w:rPr>
      </w:pPr>
      <w:r w:rsidRPr="00A27F08">
        <w:rPr>
          <w:rFonts w:cs="Arial"/>
          <w:bCs/>
          <w:iCs/>
        </w:rPr>
        <w:t>8 or higher award maintained by Quality &amp; Qualifications of Ireland (QQI) or</w:t>
      </w:r>
    </w:p>
    <w:p w:rsidR="00565308" w:rsidRPr="00A27F08" w:rsidRDefault="00565308" w:rsidP="00565308">
      <w:pPr>
        <w:ind w:left="408"/>
        <w:rPr>
          <w:rFonts w:cs="Arial"/>
          <w:bCs/>
          <w:iCs/>
        </w:rPr>
      </w:pPr>
      <w:proofErr w:type="gramStart"/>
      <w:r w:rsidRPr="00A27F08">
        <w:rPr>
          <w:rFonts w:cs="Arial"/>
          <w:bCs/>
          <w:iCs/>
        </w:rPr>
        <w:t>can</w:t>
      </w:r>
      <w:proofErr w:type="gramEnd"/>
      <w:r w:rsidRPr="00A27F08">
        <w:rPr>
          <w:rFonts w:cs="Arial"/>
          <w:bCs/>
          <w:iCs/>
        </w:rPr>
        <w:t xml:space="preserve"> provide written evidence from the Higher Education Institute that they have</w:t>
      </w:r>
    </w:p>
    <w:p w:rsidR="00565308" w:rsidRPr="00A27F08" w:rsidRDefault="00565308" w:rsidP="00565308">
      <w:pPr>
        <w:ind w:left="408"/>
        <w:rPr>
          <w:rFonts w:cs="Arial"/>
          <w:bCs/>
          <w:iCs/>
        </w:rPr>
      </w:pPr>
      <w:proofErr w:type="gramStart"/>
      <w:r w:rsidRPr="00A27F08">
        <w:rPr>
          <w:rFonts w:cs="Arial"/>
          <w:bCs/>
          <w:iCs/>
        </w:rPr>
        <w:t>achieved</w:t>
      </w:r>
      <w:proofErr w:type="gramEnd"/>
      <w:r w:rsidRPr="00A27F08">
        <w:rPr>
          <w:rFonts w:cs="Arial"/>
          <w:bCs/>
          <w:iCs/>
        </w:rPr>
        <w:t xml:space="preserve"> the number of ECTS credits equivalent to a Level 8 or higher in a</w:t>
      </w:r>
    </w:p>
    <w:p w:rsidR="00565308" w:rsidRDefault="00565308" w:rsidP="00565308">
      <w:pPr>
        <w:ind w:left="408"/>
        <w:rPr>
          <w:rFonts w:cs="Arial"/>
          <w:bCs/>
          <w:iCs/>
        </w:rPr>
      </w:pPr>
      <w:proofErr w:type="gramStart"/>
      <w:r w:rsidRPr="00A27F08">
        <w:rPr>
          <w:rFonts w:cs="Arial"/>
          <w:bCs/>
          <w:iCs/>
        </w:rPr>
        <w:t>health</w:t>
      </w:r>
      <w:proofErr w:type="gramEnd"/>
      <w:r w:rsidRPr="00A27F08">
        <w:rPr>
          <w:rFonts w:cs="Arial"/>
          <w:bCs/>
          <w:iCs/>
        </w:rPr>
        <w:t xml:space="preserve"> care management related area.</w:t>
      </w:r>
    </w:p>
    <w:p w:rsidR="00565308" w:rsidRPr="002115A2" w:rsidRDefault="00565308" w:rsidP="00565308">
      <w:pPr>
        <w:ind w:left="408"/>
        <w:rPr>
          <w:rFonts w:cs="Arial"/>
          <w:b/>
          <w:bCs/>
          <w:iCs/>
        </w:rPr>
      </w:pPr>
      <w:r w:rsidRPr="002115A2">
        <w:rPr>
          <w:rFonts w:cs="Arial"/>
          <w:b/>
          <w:bCs/>
          <w:iCs/>
        </w:rPr>
        <w:t>And</w:t>
      </w:r>
    </w:p>
    <w:p w:rsidR="00565308" w:rsidRDefault="00565308" w:rsidP="00565308">
      <w:pPr>
        <w:ind w:left="408"/>
        <w:rPr>
          <w:rFonts w:cs="Arial"/>
          <w:bCs/>
          <w:iCs/>
        </w:rPr>
      </w:pPr>
    </w:p>
    <w:p w:rsidR="00565308" w:rsidRPr="00E60A5E" w:rsidRDefault="00565308" w:rsidP="00565308">
      <w:pPr>
        <w:ind w:left="408"/>
        <w:rPr>
          <w:rFonts w:cs="Arial"/>
          <w:bCs/>
          <w:iCs/>
        </w:rPr>
      </w:pPr>
      <w:proofErr w:type="gramStart"/>
      <w:r w:rsidRPr="00E60A5E">
        <w:rPr>
          <w:rFonts w:cs="Arial"/>
          <w:bCs/>
          <w:iCs/>
        </w:rPr>
        <w:t>(iv) Demonstrate</w:t>
      </w:r>
      <w:proofErr w:type="gramEnd"/>
      <w:r w:rsidRPr="00E60A5E">
        <w:rPr>
          <w:rFonts w:cs="Arial"/>
          <w:bCs/>
          <w:iCs/>
        </w:rPr>
        <w:t xml:space="preserve"> evidence of ongoing Continuous Professional Development (CPD). </w:t>
      </w:r>
    </w:p>
    <w:p w:rsidR="00565308" w:rsidRPr="00F50BF7" w:rsidRDefault="00565308" w:rsidP="00565308">
      <w:pPr>
        <w:ind w:left="408"/>
        <w:rPr>
          <w:rFonts w:cs="Arial"/>
          <w:bCs/>
          <w:iCs/>
          <w:sz w:val="12"/>
          <w:szCs w:val="12"/>
        </w:rPr>
      </w:pPr>
    </w:p>
    <w:p w:rsidR="00565308" w:rsidRPr="002115A2" w:rsidRDefault="00565308" w:rsidP="00565308">
      <w:pPr>
        <w:ind w:left="408"/>
        <w:rPr>
          <w:rFonts w:cs="Arial"/>
          <w:b/>
          <w:bCs/>
          <w:iCs/>
        </w:rPr>
      </w:pPr>
      <w:r w:rsidRPr="002115A2">
        <w:rPr>
          <w:rFonts w:cs="Arial"/>
          <w:b/>
          <w:bCs/>
          <w:iCs/>
        </w:rPr>
        <w:t>And</w:t>
      </w:r>
    </w:p>
    <w:p w:rsidR="00565308" w:rsidRPr="00F50BF7" w:rsidRDefault="00565308" w:rsidP="00565308">
      <w:pPr>
        <w:ind w:left="408"/>
        <w:rPr>
          <w:rFonts w:cs="Arial"/>
          <w:bCs/>
          <w:iCs/>
          <w:sz w:val="12"/>
          <w:szCs w:val="12"/>
        </w:rPr>
      </w:pPr>
    </w:p>
    <w:p w:rsidR="00565308" w:rsidRDefault="00565308" w:rsidP="00565308">
      <w:pPr>
        <w:rPr>
          <w:rFonts w:cs="Arial"/>
          <w:bCs/>
          <w:iCs/>
        </w:rPr>
      </w:pPr>
      <w:r w:rsidRPr="00B025DF">
        <w:rPr>
          <w:rFonts w:cs="Arial"/>
          <w:bCs/>
          <w:iCs/>
        </w:rPr>
        <w:t xml:space="preserve">(b)  Candidates must </w:t>
      </w:r>
      <w:r>
        <w:rPr>
          <w:rFonts w:cs="Arial"/>
          <w:bCs/>
          <w:iCs/>
        </w:rPr>
        <w:t xml:space="preserve">possess the requisite clinical, leadership, managerial and </w:t>
      </w:r>
    </w:p>
    <w:p w:rsidR="00565308" w:rsidRDefault="00565308" w:rsidP="00565308">
      <w:pPr>
        <w:ind w:firstLine="348"/>
        <w:rPr>
          <w:rFonts w:cs="Arial"/>
          <w:bCs/>
          <w:iCs/>
        </w:rPr>
      </w:pPr>
      <w:r>
        <w:rPr>
          <w:rFonts w:cs="Arial"/>
          <w:bCs/>
          <w:iCs/>
        </w:rPr>
        <w:t xml:space="preserve"> </w:t>
      </w:r>
      <w:proofErr w:type="gramStart"/>
      <w:r>
        <w:rPr>
          <w:rFonts w:cs="Arial"/>
          <w:bCs/>
          <w:iCs/>
        </w:rPr>
        <w:t>administrative</w:t>
      </w:r>
      <w:proofErr w:type="gramEnd"/>
      <w:r>
        <w:rPr>
          <w:rFonts w:cs="Arial"/>
          <w:bCs/>
          <w:iCs/>
        </w:rPr>
        <w:t xml:space="preserve"> knowledge and ability for the proper discharge of the office.</w:t>
      </w:r>
    </w:p>
    <w:p w:rsidR="00565308" w:rsidRPr="00AC2607" w:rsidRDefault="00565308" w:rsidP="00565308">
      <w:pPr>
        <w:rPr>
          <w:rFonts w:cs="Arial"/>
        </w:rPr>
      </w:pPr>
    </w:p>
    <w:p w:rsidR="00565308" w:rsidRPr="00AC2607" w:rsidRDefault="00565308" w:rsidP="00565308">
      <w:pPr>
        <w:rPr>
          <w:rFonts w:cs="Arial"/>
          <w:b/>
          <w:u w:val="single"/>
        </w:rPr>
      </w:pPr>
      <w:r>
        <w:rPr>
          <w:rFonts w:cs="Arial"/>
          <w:b/>
        </w:rPr>
        <w:t xml:space="preserve">2.    </w:t>
      </w:r>
      <w:r w:rsidRPr="00AC2607">
        <w:rPr>
          <w:rFonts w:cs="Arial"/>
          <w:b/>
          <w:u w:val="single"/>
        </w:rPr>
        <w:t>Annual registration</w:t>
      </w:r>
    </w:p>
    <w:p w:rsidR="00565308" w:rsidRPr="00AC2607" w:rsidRDefault="00565308" w:rsidP="00565308">
      <w:pPr>
        <w:pStyle w:val="ListParagraph"/>
        <w:ind w:left="397"/>
        <w:rPr>
          <w:rFonts w:ascii="Arial" w:hAnsi="Arial" w:cs="Arial"/>
        </w:rPr>
      </w:pPr>
      <w:r w:rsidRPr="00AC2607">
        <w:rPr>
          <w:rFonts w:ascii="Arial" w:hAnsi="Arial" w:cs="Arial"/>
        </w:rPr>
        <w:t xml:space="preserve">Practitioners must maintain live annual registration on the </w:t>
      </w:r>
      <w:r>
        <w:rPr>
          <w:rFonts w:ascii="Arial" w:hAnsi="Arial" w:cs="Arial"/>
          <w:bCs/>
          <w:iCs/>
        </w:rPr>
        <w:t>Psychiatric</w:t>
      </w:r>
      <w:r w:rsidRPr="00AC2607">
        <w:rPr>
          <w:rFonts w:ascii="Arial" w:hAnsi="Arial" w:cs="Arial"/>
        </w:rPr>
        <w:t xml:space="preserve"> Nursing Division of the Nurses &amp; Midwives Register maintained by Nursing and Midwifery Board of Ireland (</w:t>
      </w:r>
      <w:proofErr w:type="spellStart"/>
      <w:r w:rsidRPr="00AC2607">
        <w:rPr>
          <w:rFonts w:ascii="Arial" w:hAnsi="Arial" w:cs="Arial"/>
        </w:rPr>
        <w:t>Bord</w:t>
      </w:r>
      <w:proofErr w:type="spellEnd"/>
      <w:r w:rsidRPr="00AC2607">
        <w:rPr>
          <w:rFonts w:ascii="Arial" w:hAnsi="Arial" w:cs="Arial"/>
        </w:rPr>
        <w:t xml:space="preserve"> </w:t>
      </w:r>
      <w:proofErr w:type="spellStart"/>
      <w:r w:rsidRPr="00AC2607">
        <w:rPr>
          <w:rFonts w:ascii="Arial" w:hAnsi="Arial" w:cs="Arial"/>
        </w:rPr>
        <w:t>Altranais</w:t>
      </w:r>
      <w:proofErr w:type="spellEnd"/>
      <w:r w:rsidRPr="00AC2607">
        <w:rPr>
          <w:rFonts w:ascii="Arial" w:hAnsi="Arial" w:cs="Arial"/>
        </w:rPr>
        <w:t xml:space="preserve"> </w:t>
      </w:r>
      <w:proofErr w:type="spellStart"/>
      <w:r w:rsidRPr="00AC2607">
        <w:rPr>
          <w:rFonts w:ascii="Arial" w:hAnsi="Arial" w:cs="Arial"/>
        </w:rPr>
        <w:t>agus</w:t>
      </w:r>
      <w:proofErr w:type="spellEnd"/>
      <w:r w:rsidRPr="00AC2607">
        <w:rPr>
          <w:rFonts w:ascii="Arial" w:hAnsi="Arial" w:cs="Arial"/>
        </w:rPr>
        <w:t xml:space="preserve"> </w:t>
      </w:r>
      <w:proofErr w:type="spellStart"/>
      <w:r w:rsidRPr="00AC2607">
        <w:rPr>
          <w:rFonts w:ascii="Arial" w:hAnsi="Arial" w:cs="Arial"/>
        </w:rPr>
        <w:t>Cnáimhseachais</w:t>
      </w:r>
      <w:proofErr w:type="spellEnd"/>
      <w:r w:rsidRPr="00AC2607">
        <w:rPr>
          <w:rFonts w:ascii="Arial" w:hAnsi="Arial" w:cs="Arial"/>
        </w:rPr>
        <w:t xml:space="preserve"> </w:t>
      </w:r>
      <w:proofErr w:type="spellStart"/>
      <w:proofErr w:type="gramStart"/>
      <w:r w:rsidRPr="00AC2607">
        <w:rPr>
          <w:rFonts w:ascii="Arial" w:hAnsi="Arial" w:cs="Arial"/>
        </w:rPr>
        <w:t>na</w:t>
      </w:r>
      <w:proofErr w:type="spellEnd"/>
      <w:proofErr w:type="gramEnd"/>
      <w:r w:rsidRPr="00AC2607">
        <w:rPr>
          <w:rFonts w:ascii="Arial" w:hAnsi="Arial" w:cs="Arial"/>
        </w:rPr>
        <w:t xml:space="preserve"> </w:t>
      </w:r>
      <w:proofErr w:type="spellStart"/>
      <w:r w:rsidRPr="00AC2607">
        <w:rPr>
          <w:rFonts w:ascii="Arial" w:hAnsi="Arial" w:cs="Arial"/>
        </w:rPr>
        <w:t>hÉireann</w:t>
      </w:r>
      <w:proofErr w:type="spellEnd"/>
      <w:r w:rsidRPr="00AC2607">
        <w:rPr>
          <w:rFonts w:ascii="Arial" w:hAnsi="Arial" w:cs="Arial"/>
        </w:rPr>
        <w:t>).</w:t>
      </w:r>
    </w:p>
    <w:p w:rsidR="00565308" w:rsidRDefault="00565308" w:rsidP="00565308">
      <w:pPr>
        <w:rPr>
          <w:rFonts w:cs="Arial"/>
        </w:rPr>
      </w:pPr>
    </w:p>
    <w:p w:rsidR="00565308" w:rsidRPr="00E60A5E" w:rsidRDefault="00565308" w:rsidP="00565308">
      <w:pPr>
        <w:rPr>
          <w:rFonts w:cs="Arial"/>
          <w:b/>
          <w:u w:val="single"/>
        </w:rPr>
      </w:pPr>
      <w:r w:rsidRPr="00E60A5E">
        <w:rPr>
          <w:rFonts w:cs="Arial"/>
          <w:b/>
        </w:rPr>
        <w:t>3.</w:t>
      </w:r>
      <w:r>
        <w:rPr>
          <w:rFonts w:cs="Arial"/>
        </w:rPr>
        <w:t xml:space="preserve">    </w:t>
      </w:r>
      <w:r w:rsidRPr="00E60A5E">
        <w:rPr>
          <w:rFonts w:cs="Arial"/>
          <w:b/>
          <w:u w:val="single"/>
        </w:rPr>
        <w:t>Health</w:t>
      </w:r>
    </w:p>
    <w:p w:rsidR="00565308" w:rsidRPr="00AC2607" w:rsidRDefault="00565308" w:rsidP="00565308">
      <w:pPr>
        <w:ind w:left="397"/>
        <w:rPr>
          <w:rFonts w:cs="Arial"/>
        </w:rPr>
      </w:pPr>
      <w:r w:rsidRPr="00AC2607">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rsidR="00565308" w:rsidRPr="00AC2607" w:rsidRDefault="00565308" w:rsidP="00565308">
      <w:pPr>
        <w:rPr>
          <w:rFonts w:cs="Arial"/>
        </w:rPr>
      </w:pPr>
    </w:p>
    <w:p w:rsidR="00565308" w:rsidRPr="00E60A5E" w:rsidRDefault="00565308" w:rsidP="00565308">
      <w:pPr>
        <w:rPr>
          <w:rFonts w:cs="Arial"/>
          <w:b/>
          <w:u w:val="single"/>
        </w:rPr>
      </w:pPr>
      <w:r>
        <w:rPr>
          <w:rFonts w:cs="Arial"/>
          <w:b/>
        </w:rPr>
        <w:t xml:space="preserve">4.    </w:t>
      </w:r>
      <w:r w:rsidRPr="00E60A5E">
        <w:rPr>
          <w:rFonts w:cs="Arial"/>
          <w:b/>
          <w:u w:val="single"/>
        </w:rPr>
        <w:t>Character</w:t>
      </w:r>
    </w:p>
    <w:p w:rsidR="00565308" w:rsidRPr="00AC2607" w:rsidRDefault="00565308" w:rsidP="00565308">
      <w:pPr>
        <w:ind w:firstLine="397"/>
        <w:rPr>
          <w:rFonts w:cs="Arial"/>
        </w:rPr>
      </w:pPr>
      <w:r w:rsidRPr="00AC2607">
        <w:rPr>
          <w:rFonts w:cs="Arial"/>
        </w:rPr>
        <w:t>Candidates for and any person holding the office must be of good character.</w:t>
      </w: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EB0DE2" w:rsidRDefault="00EB0DE2"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1F05C1">
      <w:pPr>
        <w:rPr>
          <w:rFonts w:cs="Arial"/>
          <w:b/>
        </w:rPr>
      </w:pPr>
    </w:p>
    <w:p w:rsidR="00541A2C" w:rsidRDefault="00541A2C" w:rsidP="00D808E4">
      <w:pPr>
        <w:ind w:left="360"/>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proofErr w:type="gramStart"/>
      <w:r w:rsidRPr="00E50F9C">
        <w:rPr>
          <w:rFonts w:cs="Arial"/>
          <w:b/>
        </w:rPr>
        <w:t>and</w:t>
      </w:r>
      <w:proofErr w:type="gramEnd"/>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proofErr w:type="gramStart"/>
      <w:r w:rsidRPr="00E50F9C">
        <w:rPr>
          <w:rFonts w:cs="Arial"/>
          <w:b/>
        </w:rPr>
        <w:t>or</w:t>
      </w:r>
      <w:proofErr w:type="gramEnd"/>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proofErr w:type="gramStart"/>
      <w:r w:rsidRPr="007D2467">
        <w:rPr>
          <w:rFonts w:cs="Arial"/>
        </w:rPr>
        <w:t>and</w:t>
      </w:r>
      <w:proofErr w:type="gramEnd"/>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proofErr w:type="gramStart"/>
      <w:r w:rsidRPr="00E50F9C">
        <w:rPr>
          <w:rFonts w:cs="Arial"/>
          <w:b/>
        </w:rPr>
        <w:t>and</w:t>
      </w:r>
      <w:proofErr w:type="gramEnd"/>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proofErr w:type="gramStart"/>
      <w:r w:rsidRPr="00E50F9C">
        <w:rPr>
          <w:rFonts w:cs="Arial"/>
          <w:b/>
          <w:u w:val="single"/>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proofErr w:type="gramStart"/>
      <w:r w:rsidRPr="00BD3FEF">
        <w:rPr>
          <w:rFonts w:cs="Arial"/>
          <w:b/>
          <w:i/>
          <w:color w:val="000000" w:themeColor="text1"/>
        </w:rPr>
        <w:t>or</w:t>
      </w:r>
      <w:proofErr w:type="gramEnd"/>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xml:space="preserve">, Enterprise and Innovation </w:t>
      </w:r>
      <w:proofErr w:type="gramStart"/>
      <w:r w:rsidRPr="008F59BA">
        <w:rPr>
          <w:rFonts w:cs="Arial"/>
        </w:rPr>
        <w:t>website</w:t>
      </w:r>
      <w:r>
        <w:rPr>
          <w:rFonts w:cs="Arial"/>
        </w:rPr>
        <w:t xml:space="preserve"> </w:t>
      </w:r>
      <w:r w:rsidRPr="001B392B">
        <w:t xml:space="preserve"> </w:t>
      </w:r>
      <w:proofErr w:type="gramEnd"/>
      <w:r w:rsidR="00710AE3">
        <w:fldChar w:fldCharType="begin"/>
      </w:r>
      <w:r w:rsidR="00710AE3">
        <w:instrText xml:space="preserve"> HYPERLINK "https://dbei.gov.ie/en/" </w:instrText>
      </w:r>
      <w:r w:rsidR="00710AE3">
        <w:fldChar w:fldCharType="separate"/>
      </w:r>
      <w:r w:rsidRPr="00B01D88">
        <w:rPr>
          <w:rStyle w:val="Hyperlink"/>
          <w:rFonts w:cs="Arial"/>
        </w:rPr>
        <w:t>https://dbei.gov.ie/en/</w:t>
      </w:r>
      <w:r w:rsidR="00710AE3">
        <w:rPr>
          <w:rStyle w:val="Hyperlink"/>
          <w:rFonts w:cs="Arial"/>
        </w:rPr>
        <w:fldChar w:fldCharType="end"/>
      </w:r>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565308" w:rsidP="006158B7">
      <w:pPr>
        <w:ind w:left="-360"/>
        <w:jc w:val="both"/>
        <w:rPr>
          <w:rFonts w:cs="Arial"/>
        </w:rPr>
      </w:pPr>
      <w:hyperlink r:id="rId14"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565308" w:rsidP="006158B7">
      <w:pPr>
        <w:ind w:left="-360"/>
        <w:jc w:val="both"/>
        <w:rPr>
          <w:rFonts w:cs="Arial"/>
        </w:rPr>
      </w:pPr>
      <w:hyperlink r:id="rId15"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565308" w:rsidP="006158B7">
      <w:pPr>
        <w:ind w:left="-360"/>
        <w:jc w:val="both"/>
        <w:rPr>
          <w:rFonts w:cs="Arial"/>
        </w:rPr>
      </w:pPr>
      <w:hyperlink r:id="rId16" w:history="1">
        <w:r w:rsidR="006158B7" w:rsidRPr="008F59BA">
          <w:rPr>
            <w:rStyle w:val="Hyperlink"/>
            <w:rFonts w:cs="Arial"/>
          </w:rPr>
          <w:t>www.afp.gov.au</w:t>
        </w:r>
      </w:hyperlink>
      <w:r w:rsidR="006158B7" w:rsidRPr="008F59BA">
        <w:rPr>
          <w:rFonts w:cs="Arial"/>
        </w:rPr>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565308" w:rsidP="006158B7">
      <w:pPr>
        <w:ind w:left="-360"/>
        <w:jc w:val="both"/>
        <w:rPr>
          <w:rFonts w:cs="Arial"/>
        </w:rPr>
      </w:pPr>
      <w:hyperlink r:id="rId17" w:history="1">
        <w:r w:rsidR="0010314C" w:rsidRPr="00B01D88">
          <w:rPr>
            <w:rStyle w:val="Hyperlink"/>
          </w:rPr>
          <w:t>www.police.govt.nz</w:t>
        </w:r>
      </w:hyperlink>
      <w:r w:rsidR="0010314C">
        <w:t xml:space="preserve"> </w:t>
      </w:r>
      <w:proofErr w:type="gramStart"/>
      <w:r w:rsidR="006158B7" w:rsidRPr="008F59BA">
        <w:rPr>
          <w:rFonts w:cs="Arial"/>
        </w:rPr>
        <w:t>This</w:t>
      </w:r>
      <w:proofErr w:type="gramEnd"/>
      <w:r w:rsidR="006158B7" w:rsidRPr="008F59BA">
        <w:rPr>
          <w:rFonts w:cs="Arial"/>
        </w:rPr>
        <w:t xml:space="preserve">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087059" w:rsidRDefault="006158B7" w:rsidP="00087059">
      <w:pPr>
        <w:ind w:left="-360"/>
        <w:rPr>
          <w:rFonts w:cs="Arial"/>
          <w:b/>
        </w:rPr>
      </w:pPr>
      <w:r w:rsidRPr="008F59BA">
        <w:rPr>
          <w:rFonts w:cs="Arial"/>
          <w:b/>
        </w:rPr>
        <w:t>Note: Any costs incurred in this process will be borne by the candidate.</w:t>
      </w:r>
    </w:p>
    <w:p w:rsidR="00087059" w:rsidRDefault="00087059" w:rsidP="00087059">
      <w:pPr>
        <w:ind w:left="-360"/>
        <w:rPr>
          <w:rFonts w:cs="Arial"/>
          <w:b/>
        </w:rPr>
      </w:pPr>
    </w:p>
    <w:p w:rsidR="00087059" w:rsidRDefault="00087059" w:rsidP="00087059">
      <w:pPr>
        <w:ind w:left="-360"/>
        <w:rPr>
          <w:rFonts w:cs="Arial"/>
        </w:rPr>
      </w:pPr>
    </w:p>
    <w:p w:rsidR="00087059" w:rsidRDefault="00087059" w:rsidP="00087059">
      <w:pPr>
        <w:ind w:left="-360"/>
        <w:rPr>
          <w:rFonts w:cs="Arial"/>
        </w:rPr>
      </w:pPr>
    </w:p>
    <w:p w:rsidR="006158B7" w:rsidRPr="00087059" w:rsidRDefault="006158B7" w:rsidP="00087059">
      <w:pPr>
        <w:pBdr>
          <w:top w:val="single" w:sz="4" w:space="1" w:color="auto"/>
          <w:left w:val="single" w:sz="4" w:space="16" w:color="auto"/>
          <w:bottom w:val="single" w:sz="4" w:space="1" w:color="auto"/>
          <w:right w:val="single" w:sz="4" w:space="4" w:color="auto"/>
        </w:pBdr>
        <w:rPr>
          <w:rFonts w:cs="Arial"/>
          <w:b/>
        </w:rPr>
      </w:pPr>
      <w:r w:rsidRPr="00087059">
        <w:rPr>
          <w:rFonts w:cs="Arial"/>
          <w:b/>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C97983" w:rsidRDefault="000D782C" w:rsidP="00C97983">
      <w:pPr>
        <w:shd w:val="clear" w:color="auto" w:fill="FFFFFF"/>
        <w:spacing w:after="150"/>
        <w:jc w:val="both"/>
        <w:rPr>
          <w:rFonts w:cs="Arial"/>
        </w:rPr>
      </w:pPr>
      <w:r>
        <w:rPr>
          <w:rFonts w:cs="Arial"/>
        </w:rPr>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C97983">
      <w:pPr>
        <w:shd w:val="clear" w:color="auto" w:fill="FFFFFF"/>
        <w:spacing w:after="150"/>
        <w:jc w:val="both"/>
        <w:rPr>
          <w:rFonts w:cs="Arial"/>
        </w:rPr>
      </w:pPr>
      <w:r w:rsidRPr="009008B7">
        <w:rPr>
          <w:rFonts w:cs="Arial"/>
          <w:b/>
          <w:bCs/>
        </w:rPr>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headerReference w:type="default" r:id="rId18"/>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13" w:rsidRPr="006E1213" w:rsidRDefault="006E1213" w:rsidP="006E1213">
    <w:pPr>
      <w:rPr>
        <w:rFonts w:eastAsia="Arial"/>
        <w:bCs/>
      </w:rPr>
    </w:pPr>
    <w:r w:rsidRPr="006E1213">
      <w:rPr>
        <w:rFonts w:eastAsia="Arial"/>
        <w:bCs/>
      </w:rPr>
      <w:t>N</w:t>
    </w:r>
    <w:r w:rsidR="00565308">
      <w:rPr>
        <w:rFonts w:eastAsia="Arial"/>
        <w:bCs/>
      </w:rPr>
      <w:t>FMHSDON2 Director of Nursing</w:t>
    </w:r>
    <w:r w:rsidR="00EB0DE2">
      <w:rPr>
        <w:rFonts w:eastAsia="Arial"/>
        <w:bCs/>
      </w:rPr>
      <w:t>,</w:t>
    </w:r>
    <w:r w:rsidR="00565308">
      <w:rPr>
        <w:rFonts w:eastAsia="Arial"/>
        <w:bCs/>
      </w:rPr>
      <w:t xml:space="preserve"> Forensic</w:t>
    </w:r>
    <w:r w:rsidR="00EB0DE2">
      <w:rPr>
        <w:rFonts w:eastAsia="Arial"/>
        <w:bCs/>
      </w:rPr>
      <w:t xml:space="preserve"> Mental Health </w:t>
    </w:r>
  </w:p>
  <w:p w:rsidR="00CA4FC3" w:rsidRDefault="002C2C6C" w:rsidP="00BE366C">
    <w:pPr>
      <w:pStyle w:val="Footer"/>
      <w:tabs>
        <w:tab w:val="left" w:pos="1290"/>
      </w:tabs>
      <w:rPr>
        <w:rFonts w:ascii="Arial" w:hAnsi="Arial" w:cs="Arial"/>
        <w:sz w:val="20"/>
      </w:rPr>
    </w:pPr>
    <w:r>
      <w:rPr>
        <w:rFonts w:ascii="Arial" w:hAnsi="Arial" w:cs="Arial"/>
        <w:b/>
        <w:noProof/>
        <w:lang w:val="en-IE" w:eastAsia="en-IE"/>
      </w:rPr>
      <w:br/>
    </w:r>
    <w:r w:rsidR="003D6286" w:rsidRPr="00222FD3">
      <w:rPr>
        <w:rFonts w:ascii="Arial" w:hAnsi="Arial" w:cs="Arial"/>
        <w:sz w:val="20"/>
      </w:rPr>
      <w:tab/>
    </w:r>
    <w:r>
      <w:rPr>
        <w:rFonts w:ascii="Arial" w:hAnsi="Arial" w:cs="Arial"/>
        <w:sz w:val="20"/>
      </w:rPr>
      <w:tab/>
    </w:r>
    <w:r>
      <w:rPr>
        <w:rFonts w:ascii="Arial" w:hAnsi="Arial" w:cs="Arial"/>
        <w:sz w:val="20"/>
      </w:rPr>
      <w:tab/>
    </w:r>
    <w:r w:rsidR="00CA4FC3" w:rsidRPr="00222FD3">
      <w:rPr>
        <w:rFonts w:ascii="Arial" w:hAnsi="Arial" w:cs="Arial"/>
        <w:sz w:val="20"/>
      </w:rPr>
      <w:t xml:space="preserve">Page </w:t>
    </w:r>
    <w:r w:rsidR="00CA4FC3" w:rsidRPr="00222FD3">
      <w:rPr>
        <w:rFonts w:ascii="Arial" w:hAnsi="Arial" w:cs="Arial"/>
        <w:sz w:val="20"/>
      </w:rPr>
      <w:fldChar w:fldCharType="begin"/>
    </w:r>
    <w:r w:rsidR="00CA4FC3" w:rsidRPr="00222FD3">
      <w:rPr>
        <w:rFonts w:ascii="Arial" w:hAnsi="Arial" w:cs="Arial"/>
        <w:sz w:val="20"/>
      </w:rPr>
      <w:instrText xml:space="preserve"> PAGE </w:instrText>
    </w:r>
    <w:r w:rsidR="00CA4FC3" w:rsidRPr="00222FD3">
      <w:rPr>
        <w:rFonts w:ascii="Arial" w:hAnsi="Arial" w:cs="Arial"/>
        <w:sz w:val="20"/>
      </w:rPr>
      <w:fldChar w:fldCharType="separate"/>
    </w:r>
    <w:r w:rsidR="00565308">
      <w:rPr>
        <w:rFonts w:ascii="Arial" w:hAnsi="Arial" w:cs="Arial"/>
        <w:noProof/>
        <w:sz w:val="20"/>
      </w:rPr>
      <w:t>1</w:t>
    </w:r>
    <w:r w:rsidR="00CA4FC3" w:rsidRPr="00222FD3">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AE0" w:rsidRDefault="00103AE0">
    <w:pPr>
      <w:pStyle w:val="Header"/>
    </w:pPr>
    <w:r>
      <w:tab/>
    </w:r>
    <w:r>
      <w:tab/>
    </w:r>
    <w:r>
      <w:rPr>
        <w:noProof/>
        <w:lang w:val="en-IE" w:eastAsia="en-IE"/>
      </w:rPr>
      <w:drawing>
        <wp:inline distT="0" distB="0" distL="0" distR="0" wp14:anchorId="5BBBDA24" wp14:editId="50AC6E5F">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C7B2ACE"/>
    <w:multiLevelType w:val="hybridMultilevel"/>
    <w:tmpl w:val="F6F82852"/>
    <w:lvl w:ilvl="0" w:tplc="A264448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206080"/>
    <w:multiLevelType w:val="hybridMultilevel"/>
    <w:tmpl w:val="43F69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8EB5647"/>
    <w:multiLevelType w:val="hybridMultilevel"/>
    <w:tmpl w:val="94BEDB9E"/>
    <w:lvl w:ilvl="0" w:tplc="7244047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A75F09"/>
    <w:multiLevelType w:val="hybridMultilevel"/>
    <w:tmpl w:val="DEB8DB84"/>
    <w:lvl w:ilvl="0" w:tplc="081EB7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8D39DD"/>
    <w:multiLevelType w:val="hybridMultilevel"/>
    <w:tmpl w:val="83BC5CD6"/>
    <w:lvl w:ilvl="0" w:tplc="EF0C47B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68124D3"/>
    <w:multiLevelType w:val="hybridMultilevel"/>
    <w:tmpl w:val="5AB8BE06"/>
    <w:lvl w:ilvl="0" w:tplc="DDCA3D0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4"/>
  </w:num>
  <w:num w:numId="3">
    <w:abstractNumId w:val="6"/>
  </w:num>
  <w:num w:numId="4">
    <w:abstractNumId w:val="1"/>
  </w:num>
  <w:num w:numId="5">
    <w:abstractNumId w:val="18"/>
  </w:num>
  <w:num w:numId="6">
    <w:abstractNumId w:val="21"/>
  </w:num>
  <w:num w:numId="7">
    <w:abstractNumId w:val="9"/>
  </w:num>
  <w:num w:numId="8">
    <w:abstractNumId w:val="17"/>
  </w:num>
  <w:num w:numId="9">
    <w:abstractNumId w:val="2"/>
  </w:num>
  <w:num w:numId="10">
    <w:abstractNumId w:val="13"/>
  </w:num>
  <w:num w:numId="11">
    <w:abstractNumId w:val="4"/>
  </w:num>
  <w:num w:numId="12">
    <w:abstractNumId w:val="20"/>
  </w:num>
  <w:num w:numId="13">
    <w:abstractNumId w:val="15"/>
  </w:num>
  <w:num w:numId="14">
    <w:abstractNumId w:val="22"/>
  </w:num>
  <w:num w:numId="15">
    <w:abstractNumId w:val="19"/>
  </w:num>
  <w:num w:numId="16">
    <w:abstractNumId w:val="8"/>
  </w:num>
  <w:num w:numId="17">
    <w:abstractNumId w:val="3"/>
  </w:num>
  <w:num w:numId="18">
    <w:abstractNumId w:val="16"/>
  </w:num>
  <w:num w:numId="19">
    <w:abstractNumId w:val="7"/>
  </w:num>
  <w:num w:numId="20">
    <w:abstractNumId w:val="5"/>
  </w:num>
  <w:num w:numId="21">
    <w:abstractNumId w:val="10"/>
  </w:num>
  <w:num w:numId="22">
    <w:abstractNumId w:val="11"/>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127C"/>
    <w:rsid w:val="000117C1"/>
    <w:rsid w:val="0001799B"/>
    <w:rsid w:val="000246EC"/>
    <w:rsid w:val="00024889"/>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87059"/>
    <w:rsid w:val="00092441"/>
    <w:rsid w:val="00093771"/>
    <w:rsid w:val="000943A8"/>
    <w:rsid w:val="000A1D7B"/>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3AE0"/>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1A26"/>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D56"/>
    <w:rsid w:val="001F05C1"/>
    <w:rsid w:val="00200746"/>
    <w:rsid w:val="002055DD"/>
    <w:rsid w:val="00207332"/>
    <w:rsid w:val="00217452"/>
    <w:rsid w:val="00222FD3"/>
    <w:rsid w:val="00227C3D"/>
    <w:rsid w:val="0024216E"/>
    <w:rsid w:val="002442F4"/>
    <w:rsid w:val="0025108D"/>
    <w:rsid w:val="00255283"/>
    <w:rsid w:val="0026429D"/>
    <w:rsid w:val="00275506"/>
    <w:rsid w:val="002805AA"/>
    <w:rsid w:val="002807A0"/>
    <w:rsid w:val="00285FB9"/>
    <w:rsid w:val="00287E27"/>
    <w:rsid w:val="00290577"/>
    <w:rsid w:val="00291575"/>
    <w:rsid w:val="00291ECB"/>
    <w:rsid w:val="00296D03"/>
    <w:rsid w:val="002A141E"/>
    <w:rsid w:val="002A7469"/>
    <w:rsid w:val="002A7753"/>
    <w:rsid w:val="002C2C6C"/>
    <w:rsid w:val="002C3116"/>
    <w:rsid w:val="002C7DF6"/>
    <w:rsid w:val="002D3323"/>
    <w:rsid w:val="002D74ED"/>
    <w:rsid w:val="002E022C"/>
    <w:rsid w:val="002E31A3"/>
    <w:rsid w:val="002E77B9"/>
    <w:rsid w:val="002E7927"/>
    <w:rsid w:val="002F3E5E"/>
    <w:rsid w:val="00302567"/>
    <w:rsid w:val="00302C46"/>
    <w:rsid w:val="003052F5"/>
    <w:rsid w:val="003104FC"/>
    <w:rsid w:val="003105C6"/>
    <w:rsid w:val="003113DB"/>
    <w:rsid w:val="00325E23"/>
    <w:rsid w:val="00326F5E"/>
    <w:rsid w:val="0032767B"/>
    <w:rsid w:val="003313F5"/>
    <w:rsid w:val="0033603A"/>
    <w:rsid w:val="00336610"/>
    <w:rsid w:val="00336E61"/>
    <w:rsid w:val="00340515"/>
    <w:rsid w:val="00340E0C"/>
    <w:rsid w:val="00343984"/>
    <w:rsid w:val="00343DDB"/>
    <w:rsid w:val="00347F4D"/>
    <w:rsid w:val="003523C2"/>
    <w:rsid w:val="00356CA7"/>
    <w:rsid w:val="00366B2E"/>
    <w:rsid w:val="003722EB"/>
    <w:rsid w:val="00375E0A"/>
    <w:rsid w:val="00380822"/>
    <w:rsid w:val="00382047"/>
    <w:rsid w:val="003962CA"/>
    <w:rsid w:val="003A32EA"/>
    <w:rsid w:val="003B5DD0"/>
    <w:rsid w:val="003C25A3"/>
    <w:rsid w:val="003C62E9"/>
    <w:rsid w:val="003D19FA"/>
    <w:rsid w:val="003D3BC4"/>
    <w:rsid w:val="003D6286"/>
    <w:rsid w:val="003D7284"/>
    <w:rsid w:val="003D7A6B"/>
    <w:rsid w:val="003E0F9C"/>
    <w:rsid w:val="003E1D98"/>
    <w:rsid w:val="003E2F1B"/>
    <w:rsid w:val="003E4B1D"/>
    <w:rsid w:val="00400EA6"/>
    <w:rsid w:val="004020F2"/>
    <w:rsid w:val="00402F93"/>
    <w:rsid w:val="0040601D"/>
    <w:rsid w:val="00422BE8"/>
    <w:rsid w:val="00425E47"/>
    <w:rsid w:val="00427434"/>
    <w:rsid w:val="004316A0"/>
    <w:rsid w:val="00433275"/>
    <w:rsid w:val="004341F5"/>
    <w:rsid w:val="00445012"/>
    <w:rsid w:val="00450960"/>
    <w:rsid w:val="00460037"/>
    <w:rsid w:val="00462A0A"/>
    <w:rsid w:val="0047429C"/>
    <w:rsid w:val="00476F64"/>
    <w:rsid w:val="0048138C"/>
    <w:rsid w:val="00485D9C"/>
    <w:rsid w:val="004A431B"/>
    <w:rsid w:val="004C189E"/>
    <w:rsid w:val="004D4066"/>
    <w:rsid w:val="004D5B7D"/>
    <w:rsid w:val="004D797D"/>
    <w:rsid w:val="004D7BF1"/>
    <w:rsid w:val="004E5E4B"/>
    <w:rsid w:val="004E7D31"/>
    <w:rsid w:val="004F33CF"/>
    <w:rsid w:val="004F6076"/>
    <w:rsid w:val="00500816"/>
    <w:rsid w:val="00502C34"/>
    <w:rsid w:val="00503691"/>
    <w:rsid w:val="0051198F"/>
    <w:rsid w:val="0051288C"/>
    <w:rsid w:val="00522457"/>
    <w:rsid w:val="00523F77"/>
    <w:rsid w:val="00525A77"/>
    <w:rsid w:val="005360D7"/>
    <w:rsid w:val="00536EF5"/>
    <w:rsid w:val="00537574"/>
    <w:rsid w:val="0054150E"/>
    <w:rsid w:val="00541A2C"/>
    <w:rsid w:val="00547EFA"/>
    <w:rsid w:val="00564453"/>
    <w:rsid w:val="00565308"/>
    <w:rsid w:val="0057482C"/>
    <w:rsid w:val="005765F7"/>
    <w:rsid w:val="005779E9"/>
    <w:rsid w:val="0058358E"/>
    <w:rsid w:val="00585A59"/>
    <w:rsid w:val="005879A3"/>
    <w:rsid w:val="00591B27"/>
    <w:rsid w:val="00591F3E"/>
    <w:rsid w:val="00597454"/>
    <w:rsid w:val="005B254E"/>
    <w:rsid w:val="005B57ED"/>
    <w:rsid w:val="005B7746"/>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4388E"/>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658B"/>
    <w:rsid w:val="006D7C41"/>
    <w:rsid w:val="006E0314"/>
    <w:rsid w:val="006E0CC9"/>
    <w:rsid w:val="006E1213"/>
    <w:rsid w:val="006E16C3"/>
    <w:rsid w:val="006E321B"/>
    <w:rsid w:val="006E4329"/>
    <w:rsid w:val="006E47C8"/>
    <w:rsid w:val="006E51DF"/>
    <w:rsid w:val="006F256B"/>
    <w:rsid w:val="006F2881"/>
    <w:rsid w:val="006F28DF"/>
    <w:rsid w:val="00706B24"/>
    <w:rsid w:val="00707ED1"/>
    <w:rsid w:val="00710AE3"/>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455F0"/>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657DD"/>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2FFA"/>
    <w:rsid w:val="00A24233"/>
    <w:rsid w:val="00A267BD"/>
    <w:rsid w:val="00A2782A"/>
    <w:rsid w:val="00A318D2"/>
    <w:rsid w:val="00A40AA6"/>
    <w:rsid w:val="00A42FB5"/>
    <w:rsid w:val="00A520F7"/>
    <w:rsid w:val="00A539BF"/>
    <w:rsid w:val="00A713B0"/>
    <w:rsid w:val="00A71DCE"/>
    <w:rsid w:val="00A74B49"/>
    <w:rsid w:val="00A755C8"/>
    <w:rsid w:val="00A83413"/>
    <w:rsid w:val="00A879D1"/>
    <w:rsid w:val="00A93E51"/>
    <w:rsid w:val="00AA3EA8"/>
    <w:rsid w:val="00AA6553"/>
    <w:rsid w:val="00AA69D8"/>
    <w:rsid w:val="00AA7DB6"/>
    <w:rsid w:val="00AB35E0"/>
    <w:rsid w:val="00AD0CF0"/>
    <w:rsid w:val="00AD5F16"/>
    <w:rsid w:val="00AE4C80"/>
    <w:rsid w:val="00AE533F"/>
    <w:rsid w:val="00AF66AE"/>
    <w:rsid w:val="00AF7860"/>
    <w:rsid w:val="00B006EA"/>
    <w:rsid w:val="00B031D3"/>
    <w:rsid w:val="00B11139"/>
    <w:rsid w:val="00B1304B"/>
    <w:rsid w:val="00B14C1C"/>
    <w:rsid w:val="00B14C43"/>
    <w:rsid w:val="00B20054"/>
    <w:rsid w:val="00B24B05"/>
    <w:rsid w:val="00B27705"/>
    <w:rsid w:val="00B27753"/>
    <w:rsid w:val="00B4413B"/>
    <w:rsid w:val="00B45A52"/>
    <w:rsid w:val="00B467DE"/>
    <w:rsid w:val="00B5266E"/>
    <w:rsid w:val="00B54673"/>
    <w:rsid w:val="00B63B83"/>
    <w:rsid w:val="00B80353"/>
    <w:rsid w:val="00B86CD1"/>
    <w:rsid w:val="00B92FC6"/>
    <w:rsid w:val="00B93C6D"/>
    <w:rsid w:val="00B9566E"/>
    <w:rsid w:val="00BA17F9"/>
    <w:rsid w:val="00BA2267"/>
    <w:rsid w:val="00BA4AB3"/>
    <w:rsid w:val="00BA5942"/>
    <w:rsid w:val="00BA61BE"/>
    <w:rsid w:val="00BA7B24"/>
    <w:rsid w:val="00BB5A25"/>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983"/>
    <w:rsid w:val="00C97DCC"/>
    <w:rsid w:val="00CA03A6"/>
    <w:rsid w:val="00CA23F4"/>
    <w:rsid w:val="00CA4FC3"/>
    <w:rsid w:val="00CA5E50"/>
    <w:rsid w:val="00CB304E"/>
    <w:rsid w:val="00CB30D7"/>
    <w:rsid w:val="00CB3D91"/>
    <w:rsid w:val="00CB6936"/>
    <w:rsid w:val="00CC125F"/>
    <w:rsid w:val="00CC153A"/>
    <w:rsid w:val="00CD5382"/>
    <w:rsid w:val="00CD59D9"/>
    <w:rsid w:val="00CD6231"/>
    <w:rsid w:val="00CE1446"/>
    <w:rsid w:val="00CE1FDE"/>
    <w:rsid w:val="00CF65FE"/>
    <w:rsid w:val="00D03C3C"/>
    <w:rsid w:val="00D06334"/>
    <w:rsid w:val="00D12250"/>
    <w:rsid w:val="00D130D8"/>
    <w:rsid w:val="00D2175C"/>
    <w:rsid w:val="00D22614"/>
    <w:rsid w:val="00D24D30"/>
    <w:rsid w:val="00D2659A"/>
    <w:rsid w:val="00D34003"/>
    <w:rsid w:val="00D34E9A"/>
    <w:rsid w:val="00D41788"/>
    <w:rsid w:val="00D47901"/>
    <w:rsid w:val="00D47A6F"/>
    <w:rsid w:val="00D51672"/>
    <w:rsid w:val="00D525BE"/>
    <w:rsid w:val="00D60E83"/>
    <w:rsid w:val="00D6624F"/>
    <w:rsid w:val="00D67BD0"/>
    <w:rsid w:val="00D72063"/>
    <w:rsid w:val="00D72851"/>
    <w:rsid w:val="00D808E4"/>
    <w:rsid w:val="00D846CF"/>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4D8C"/>
    <w:rsid w:val="00E530DF"/>
    <w:rsid w:val="00E64232"/>
    <w:rsid w:val="00E70940"/>
    <w:rsid w:val="00E72FCB"/>
    <w:rsid w:val="00EA3486"/>
    <w:rsid w:val="00EA6C01"/>
    <w:rsid w:val="00EB0DE2"/>
    <w:rsid w:val="00EB7EC8"/>
    <w:rsid w:val="00EC6AC7"/>
    <w:rsid w:val="00ED0132"/>
    <w:rsid w:val="00EE0544"/>
    <w:rsid w:val="00EE2EEA"/>
    <w:rsid w:val="00EE7738"/>
    <w:rsid w:val="00EF3EE7"/>
    <w:rsid w:val="00EF4C0B"/>
    <w:rsid w:val="00F00021"/>
    <w:rsid w:val="00F01C4A"/>
    <w:rsid w:val="00F035C4"/>
    <w:rsid w:val="00F0676E"/>
    <w:rsid w:val="00F14161"/>
    <w:rsid w:val="00F16A08"/>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83969"/>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83969"/>
    <o:shapelayout v:ext="edit">
      <o:idmap v:ext="edit" data="1"/>
    </o:shapelayout>
  </w:shapeDefaults>
  <w:decimalSymbol w:val="."/>
  <w:listSeparator w:val=","/>
  <w14:docId w14:val="1D522544"/>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fmhs@hse.ie" TargetMode="External"/><Relationship Id="rId13" Type="http://schemas.openxmlformats.org/officeDocument/2006/relationships/hyperlink" Target="mailto:recruitment.nfmhs@hse.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hyperlink" Target="http://www.police.govt.nz" TargetMode="External"/><Relationship Id="rId2" Type="http://schemas.openxmlformats.org/officeDocument/2006/relationships/numbering" Target="numbering.xml"/><Relationship Id="rId16" Type="http://schemas.openxmlformats.org/officeDocument/2006/relationships/hyperlink" Target="http://www.afp.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privacy-statement/" TargetMode="External"/><Relationship Id="rId5" Type="http://schemas.openxmlformats.org/officeDocument/2006/relationships/webSettings" Target="webSettings.xml"/><Relationship Id="rId15" Type="http://schemas.openxmlformats.org/officeDocument/2006/relationships/hyperlink" Target="https://www.gov.uk/browse/working/finding-job" TargetMode="External"/><Relationship Id="rId10" Type="http://schemas.openxmlformats.org/officeDocument/2006/relationships/hyperlink" Target="http://www.cpsa.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www.police.uk/for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78217-8618-4D76-B854-6114AEF7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4977</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31836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15</cp:revision>
  <cp:lastPrinted>2020-03-25T10:41:00Z</cp:lastPrinted>
  <dcterms:created xsi:type="dcterms:W3CDTF">2025-04-15T08:42:00Z</dcterms:created>
  <dcterms:modified xsi:type="dcterms:W3CDTF">2026-04-28T13:47:00Z</dcterms:modified>
</cp:coreProperties>
</file>