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2B21" w14:textId="1A57C825" w:rsidR="006F6DAF" w:rsidRDefault="005C6C4E" w:rsidP="004C07FA">
      <w:pPr>
        <w:pStyle w:val="Heading7"/>
        <w:ind w:hanging="1134"/>
        <w:jc w:val="right"/>
        <w:rPr>
          <w:rFonts w:cs="Arial"/>
          <w:iCs/>
          <w:sz w:val="20"/>
        </w:rPr>
      </w:pPr>
      <w:r w:rsidRPr="00324FEE">
        <w:rPr>
          <w:noProof/>
          <w:color w:val="000099"/>
          <w:lang w:val="en-IE" w:eastAsia="en-IE"/>
        </w:rPr>
        <w:drawing>
          <wp:anchor distT="0" distB="0" distL="114300" distR="114300" simplePos="0" relativeHeight="251659264" behindDoc="0" locked="0" layoutInCell="1" allowOverlap="1" wp14:anchorId="32B75039" wp14:editId="0CECCA43">
            <wp:simplePos x="0" y="0"/>
            <wp:positionH relativeFrom="margin">
              <wp:posOffset>-742950</wp:posOffset>
            </wp:positionH>
            <wp:positionV relativeFrom="margin">
              <wp:posOffset>-368935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DAF">
        <w:rPr>
          <w:rFonts w:cs="Arial"/>
          <w:iCs/>
          <w:sz w:val="20"/>
        </w:rPr>
        <w:t xml:space="preserve">Pharmacist, Senior </w:t>
      </w:r>
    </w:p>
    <w:p w14:paraId="49AEBD4A" w14:textId="2CE8D897" w:rsidR="00543F98" w:rsidRDefault="006F6DAF" w:rsidP="004C07FA">
      <w:pPr>
        <w:ind w:left="5040"/>
        <w:jc w:val="right"/>
        <w:rPr>
          <w:rFonts w:ascii="Arial" w:hAnsi="Arial" w:cs="Arial"/>
          <w:b/>
        </w:rPr>
      </w:pPr>
      <w:r>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8FB79C9" w14:textId="47E2C3C3" w:rsidR="006F6DAF" w:rsidRDefault="005C6C4E" w:rsidP="006F6DAF">
            <w:pPr>
              <w:tabs>
                <w:tab w:val="left" w:pos="283"/>
              </w:tabs>
              <w:jc w:val="both"/>
              <w:rPr>
                <w:rFonts w:ascii="Arial" w:hAnsi="Arial" w:cs="Arial"/>
              </w:rPr>
            </w:pPr>
            <w:r>
              <w:rPr>
                <w:rFonts w:ascii="Arial" w:hAnsi="Arial" w:cs="Arial"/>
                <w:b/>
                <w:iCs/>
              </w:rPr>
              <w:t>Pharmacist, Senior</w:t>
            </w:r>
          </w:p>
          <w:p w14:paraId="1A2CE988" w14:textId="3EFDF9AF" w:rsidR="00543F98" w:rsidRPr="00F6254C" w:rsidRDefault="006F6DAF" w:rsidP="004C07FA">
            <w:pPr>
              <w:tabs>
                <w:tab w:val="left" w:pos="283"/>
              </w:tabs>
              <w:jc w:val="both"/>
              <w:rPr>
                <w:rFonts w:ascii="Arial" w:hAnsi="Arial" w:cs="Arial"/>
                <w:iCs/>
              </w:rPr>
            </w:pPr>
            <w:r>
              <w:rPr>
                <w:rFonts w:ascii="Arial" w:hAnsi="Arial" w:cs="Arial"/>
              </w:rPr>
              <w:t>(Grade Code: 3239)</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46108F95" w:rsidR="00792F91" w:rsidRPr="00F6254C" w:rsidRDefault="005C6C4E" w:rsidP="005C6C4E">
            <w:pPr>
              <w:pStyle w:val="Heading7"/>
              <w:rPr>
                <w:rFonts w:cs="Arial"/>
                <w:bCs/>
                <w:iCs/>
                <w:color w:val="000099"/>
              </w:rPr>
            </w:pPr>
            <w:r w:rsidRPr="005C6C4E">
              <w:rPr>
                <w:b w:val="0"/>
                <w:sz w:val="20"/>
              </w:rPr>
              <w:t>NRS14911</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3DB5454" w:rsidR="00195048" w:rsidRPr="007374B2" w:rsidRDefault="00D41DB6" w:rsidP="00195048">
            <w:pPr>
              <w:pStyle w:val="Heading7"/>
              <w:rPr>
                <w:i/>
                <w:sz w:val="20"/>
              </w:rPr>
            </w:pPr>
            <w:r>
              <w:rPr>
                <w:i/>
                <w:sz w:val="20"/>
              </w:rPr>
              <w:t>Wednesday 30</w:t>
            </w:r>
            <w:r w:rsidRPr="00D41DB6">
              <w:rPr>
                <w:i/>
                <w:sz w:val="20"/>
                <w:vertAlign w:val="superscript"/>
              </w:rPr>
              <w:t>th</w:t>
            </w:r>
            <w:r w:rsidR="007374B2" w:rsidRPr="007374B2">
              <w:rPr>
                <w:i/>
                <w:sz w:val="20"/>
              </w:rPr>
              <w:t xml:space="preserve"> July 2025 at 12:00 Noon</w:t>
            </w:r>
            <w:bookmarkStart w:id="0" w:name="_GoBack"/>
            <w:bookmarkEnd w:id="0"/>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75255E">
              <w:rPr>
                <w:rFonts w:ascii="Arial" w:hAnsi="Arial" w:cs="Arial"/>
                <w:b/>
                <w:bCs/>
              </w:rPr>
              <w:t>Proposed Interview Date (s)</w:t>
            </w:r>
          </w:p>
        </w:tc>
        <w:tc>
          <w:tcPr>
            <w:tcW w:w="8256" w:type="dxa"/>
          </w:tcPr>
          <w:p w14:paraId="4C78FAC4" w14:textId="4BF0F4C5" w:rsidR="0075255E" w:rsidRPr="0075255E" w:rsidRDefault="0075255E" w:rsidP="0075255E">
            <w:pPr>
              <w:rPr>
                <w:rFonts w:ascii="Arial" w:hAnsi="Arial" w:cs="Arial"/>
                <w:lang w:val="en-IE" w:eastAsia="en-US"/>
              </w:rPr>
            </w:pPr>
            <w:r w:rsidRPr="0075255E">
              <w:rPr>
                <w:rFonts w:ascii="Arial" w:hAnsi="Arial" w:cs="Arial"/>
                <w:bCs/>
              </w:rPr>
              <w:t>Candidates will normally be given at least two weeks' notice of interview; however, these timescales may be reduced in exceptional circumstances. It is important to note that all candidates will be required to attend for interview in person</w:t>
            </w:r>
            <w:r w:rsidRPr="0075255E">
              <w:rPr>
                <w:rFonts w:ascii="Arial" w:hAnsi="Arial" w:cs="Arial"/>
              </w:rPr>
              <w:t>.</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55A6720" w14:textId="3AE34552" w:rsidR="006F6DAF" w:rsidRDefault="00792F91" w:rsidP="006F6DAF">
            <w:pPr>
              <w:rPr>
                <w:rFonts w:ascii="Arial" w:hAnsi="Arial" w:cs="Arial"/>
              </w:rPr>
            </w:pPr>
            <w:r w:rsidRPr="00F6254C">
              <w:rPr>
                <w:rFonts w:ascii="Arial" w:hAnsi="Arial" w:cs="Arial"/>
                <w:iCs/>
                <w:color w:val="000000" w:themeColor="text1"/>
              </w:rPr>
              <w:t>There is currently</w:t>
            </w:r>
            <w:r w:rsidR="006F6DAF">
              <w:rPr>
                <w:rFonts w:ascii="Arial" w:hAnsi="Arial" w:cs="Arial"/>
                <w:iCs/>
                <w:color w:val="000000" w:themeColor="text1"/>
              </w:rPr>
              <w:t xml:space="preserve"> one </w:t>
            </w:r>
            <w:r w:rsidRPr="006F6DAF">
              <w:rPr>
                <w:rFonts w:ascii="Arial" w:hAnsi="Arial" w:cs="Arial"/>
                <w:iCs/>
                <w:color w:val="000000" w:themeColor="text1"/>
              </w:rPr>
              <w:t>permanent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006F6DAF">
              <w:rPr>
                <w:rFonts w:ascii="Arial" w:hAnsi="Arial" w:cs="Arial"/>
                <w:lang w:val="en-US"/>
              </w:rPr>
              <w:t>Medicines Management Programme (MMP),</w:t>
            </w:r>
            <w:r w:rsidR="006F6DAF">
              <w:rPr>
                <w:rFonts w:ascii="Arial" w:hAnsi="Arial" w:cs="Arial"/>
                <w:iCs/>
              </w:rPr>
              <w:t xml:space="preserve"> Primary Care Reimbursement Services (PCRS)</w:t>
            </w:r>
            <w:r w:rsidR="000A61D5">
              <w:rPr>
                <w:rFonts w:ascii="Arial" w:hAnsi="Arial" w:cs="Arial"/>
                <w:iCs/>
              </w:rPr>
              <w:t>,</w:t>
            </w:r>
            <w:r w:rsidR="006F6DAF">
              <w:rPr>
                <w:rFonts w:ascii="Arial" w:hAnsi="Arial" w:cs="Arial"/>
                <w:iCs/>
              </w:rPr>
              <w:t xml:space="preserve"> St. James’ Hospital, James’ Street, Dublin 8.</w:t>
            </w:r>
          </w:p>
          <w:p w14:paraId="12DA1F4C" w14:textId="704A8197" w:rsidR="00792F91" w:rsidRPr="00F6254C" w:rsidRDefault="00792F91" w:rsidP="00792F91">
            <w:pPr>
              <w:rPr>
                <w:rFonts w:ascii="Arial" w:hAnsi="Arial" w:cs="Arial"/>
                <w:iCs/>
                <w:color w:val="000000" w:themeColor="text1"/>
              </w:rPr>
            </w:pPr>
          </w:p>
          <w:p w14:paraId="54EF7056" w14:textId="3406D9EB" w:rsidR="00792F91" w:rsidRPr="00F6254C" w:rsidRDefault="006F6DAF" w:rsidP="00792F91">
            <w:pPr>
              <w:rPr>
                <w:rFonts w:ascii="Arial" w:hAnsi="Arial" w:cs="Arial"/>
                <w:color w:val="000099"/>
              </w:rPr>
            </w:pPr>
            <w:r>
              <w:rPr>
                <w:rFonts w:ascii="Arial" w:hAnsi="Arial" w:cs="Arial"/>
              </w:rPr>
              <w:t xml:space="preserve">A panel may be formed as a result of this campaign for </w:t>
            </w:r>
            <w:r>
              <w:rPr>
                <w:rFonts w:ascii="Arial" w:hAnsi="Arial" w:cs="Arial"/>
                <w:b/>
                <w:iCs/>
              </w:rPr>
              <w:t>Pharmacist, Senior, Medicines Management Programme, Primary Care Reimbursement Services (PCRS)</w:t>
            </w:r>
            <w:r>
              <w:rPr>
                <w:rFonts w:ascii="Arial" w:hAnsi="Arial" w:cs="Arial"/>
                <w:iCs/>
              </w:rPr>
              <w:t xml:space="preserve"> </w:t>
            </w:r>
            <w:r>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1563D50" w14:textId="77777777" w:rsidR="004C07FA" w:rsidRPr="005C6C4E" w:rsidRDefault="004C07FA" w:rsidP="004C07FA">
            <w:pPr>
              <w:spacing w:line="276" w:lineRule="auto"/>
              <w:rPr>
                <w:rFonts w:ascii="Arial" w:hAnsi="Arial" w:cs="Arial"/>
                <w:color w:val="000000" w:themeColor="text1"/>
              </w:rPr>
            </w:pPr>
            <w:r w:rsidRPr="005C6C4E">
              <w:rPr>
                <w:rFonts w:ascii="Arial" w:hAnsi="Arial" w:cs="Arial"/>
                <w:color w:val="000000" w:themeColor="text1"/>
              </w:rPr>
              <w:t xml:space="preserve">Professor Michael Barry Clinical Lead HSE-MMP                  </w:t>
            </w:r>
          </w:p>
          <w:p w14:paraId="047AE289" w14:textId="6744A3C4" w:rsidR="004C07FA" w:rsidRPr="005C6C4E" w:rsidRDefault="004C07FA" w:rsidP="004C07FA">
            <w:pPr>
              <w:spacing w:line="276" w:lineRule="auto"/>
              <w:rPr>
                <w:rFonts w:ascii="Arial" w:hAnsi="Arial" w:cs="Arial"/>
                <w:color w:val="000000" w:themeColor="text1"/>
                <w:highlight w:val="yellow"/>
              </w:rPr>
            </w:pPr>
            <w:r w:rsidRPr="005C6C4E">
              <w:rPr>
                <w:rFonts w:ascii="Arial" w:hAnsi="Arial" w:cs="Arial"/>
                <w:b/>
                <w:color w:val="000000" w:themeColor="text1"/>
              </w:rPr>
              <w:t>Email</w:t>
            </w:r>
            <w:r w:rsidRPr="005C6C4E">
              <w:rPr>
                <w:rFonts w:ascii="Arial" w:hAnsi="Arial" w:cs="Arial"/>
                <w:color w:val="000000" w:themeColor="text1"/>
              </w:rPr>
              <w:t xml:space="preserve">: </w:t>
            </w:r>
            <w:r w:rsidR="00997FA2" w:rsidRPr="005C6C4E">
              <w:rPr>
                <w:rFonts w:ascii="Arial" w:hAnsi="Arial" w:cs="Arial"/>
              </w:rPr>
              <w:t>Barrym@tcd.ie</w:t>
            </w:r>
            <w:r w:rsidRPr="005C6C4E">
              <w:rPr>
                <w:rFonts w:ascii="Arial" w:hAnsi="Arial" w:cs="Arial"/>
                <w:color w:val="000000" w:themeColor="text1"/>
                <w:highlight w:val="yellow"/>
              </w:rPr>
              <w:t xml:space="preserve">         </w:t>
            </w:r>
          </w:p>
          <w:p w14:paraId="53559CB7" w14:textId="12833F79" w:rsidR="0068735E" w:rsidRPr="00F6254C" w:rsidRDefault="0068735E" w:rsidP="001C007F">
            <w:pPr>
              <w:spacing w:line="276" w:lineRule="auto"/>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40518EB" w14:textId="7D518534" w:rsidR="006F6DAF" w:rsidRDefault="006F6DAF" w:rsidP="006F6DAF">
            <w:pPr>
              <w:jc w:val="both"/>
              <w:rPr>
                <w:rFonts w:ascii="Arial" w:hAnsi="Arial" w:cs="Arial"/>
                <w:lang w:eastAsia="en-US"/>
              </w:rPr>
            </w:pPr>
            <w:r>
              <w:rPr>
                <w:rFonts w:ascii="Arial" w:hAnsi="Arial" w:cs="Arial"/>
                <w:lang w:eastAsia="en-US"/>
              </w:rPr>
              <w:t xml:space="preserve">The HSE’s multi-disciplinary Medicines Management Programme (MMP) was established in 2013 with the aim to promote safe, effective and cost-effective use of medicines. The MMP works with the </w:t>
            </w:r>
            <w:hyperlink r:id="rId11" w:history="1">
              <w:r w:rsidRPr="008E4C92">
                <w:rPr>
                  <w:rFonts w:ascii="Arial" w:hAnsi="Arial"/>
                </w:rPr>
                <w:t>HSE-Primary Care Reimbursement Service</w:t>
              </w:r>
            </w:hyperlink>
            <w:r w:rsidRPr="008E4C92">
              <w:rPr>
                <w:rFonts w:ascii="Arial" w:hAnsi="Arial" w:cs="Arial"/>
                <w:lang w:eastAsia="en-US"/>
              </w:rPr>
              <w:t xml:space="preserve"> (HSE-PCRS) and </w:t>
            </w:r>
            <w:r w:rsidR="009E37E2" w:rsidRPr="008E4C92">
              <w:rPr>
                <w:rFonts w:ascii="Arial" w:hAnsi="Arial" w:cs="Arial"/>
                <w:lang w:eastAsia="en-US"/>
              </w:rPr>
              <w:t xml:space="preserve">in collaboration with </w:t>
            </w:r>
            <w:r w:rsidRPr="008E4C92">
              <w:rPr>
                <w:rFonts w:ascii="Arial" w:hAnsi="Arial" w:cs="Arial"/>
                <w:lang w:eastAsia="en-US"/>
              </w:rPr>
              <w:t xml:space="preserve">the </w:t>
            </w:r>
            <w:hyperlink r:id="rId12" w:history="1">
              <w:r w:rsidRPr="008E4C92">
                <w:rPr>
                  <w:rFonts w:ascii="Arial" w:hAnsi="Arial"/>
                </w:rPr>
                <w:t>National Centre for Pharmacoeconomics</w:t>
              </w:r>
            </w:hyperlink>
            <w:r w:rsidRPr="008E4C92">
              <w:rPr>
                <w:rFonts w:ascii="Arial" w:hAnsi="Arial" w:cs="Arial"/>
                <w:lang w:eastAsia="en-US"/>
              </w:rPr>
              <w:t xml:space="preserve"> (NCPE) and the </w:t>
            </w:r>
            <w:hyperlink r:id="rId13" w:history="1">
              <w:r w:rsidRPr="008E4C92">
                <w:rPr>
                  <w:rFonts w:ascii="Arial" w:hAnsi="Arial"/>
                </w:rPr>
                <w:t>National Medicines Information Centre</w:t>
              </w:r>
            </w:hyperlink>
            <w:r w:rsidRPr="008E4C92">
              <w:rPr>
                <w:rFonts w:ascii="Arial" w:hAnsi="Arial" w:cs="Arial"/>
                <w:lang w:eastAsia="en-US"/>
              </w:rPr>
              <w:t xml:space="preserve"> (NMIC) to provide</w:t>
            </w:r>
            <w:r>
              <w:rPr>
                <w:rFonts w:ascii="Arial" w:hAnsi="Arial" w:cs="Arial"/>
                <w:lang w:eastAsia="en-US"/>
              </w:rPr>
              <w:t xml:space="preserve"> sustained national leadership relating to issues such as the quality of the medicines management process, access to medicines and overall expenditure on medicines. </w:t>
            </w:r>
          </w:p>
          <w:p w14:paraId="6299E169" w14:textId="77777777" w:rsidR="006F6DAF" w:rsidRDefault="006F6DAF" w:rsidP="006F6DAF">
            <w:pPr>
              <w:jc w:val="both"/>
              <w:rPr>
                <w:rFonts w:ascii="Arial" w:hAnsi="Arial" w:cs="Arial"/>
                <w:lang w:eastAsia="en-US"/>
              </w:rPr>
            </w:pPr>
          </w:p>
          <w:p w14:paraId="44696484" w14:textId="5E592DBB" w:rsidR="006F6DAF" w:rsidRDefault="006F6DAF" w:rsidP="006F6DAF">
            <w:pPr>
              <w:jc w:val="both"/>
              <w:rPr>
                <w:rFonts w:ascii="Arial" w:hAnsi="Arial" w:cs="Arial"/>
                <w:lang w:eastAsia="en-US"/>
              </w:rPr>
            </w:pPr>
            <w:r>
              <w:rPr>
                <w:rFonts w:ascii="Arial" w:hAnsi="Arial" w:cs="Arial"/>
                <w:lang w:eastAsia="en-US"/>
              </w:rPr>
              <w:t>The M</w:t>
            </w:r>
            <w:r w:rsidR="00AB507E">
              <w:rPr>
                <w:rFonts w:ascii="Arial" w:hAnsi="Arial" w:cs="Arial"/>
                <w:lang w:eastAsia="en-US"/>
              </w:rPr>
              <w:t>MP</w:t>
            </w:r>
            <w:r>
              <w:rPr>
                <w:rFonts w:ascii="Arial" w:hAnsi="Arial" w:cs="Arial"/>
                <w:lang w:eastAsia="en-US"/>
              </w:rPr>
              <w:t xml:space="preserve">, through research, analysis, prescribing and cost guidance, has undertaken a number of initiatives aimed at enhancing evidence-based and cost-effective prescribing nationally e.g. the Preferred Drugs Initiative and Prescribing and Cost guidance. </w:t>
            </w:r>
          </w:p>
          <w:p w14:paraId="1A4200F6" w14:textId="77777777" w:rsidR="006F6DAF" w:rsidRDefault="006F6DAF" w:rsidP="006F6DAF">
            <w:pPr>
              <w:jc w:val="both"/>
              <w:rPr>
                <w:rFonts w:ascii="Arial" w:hAnsi="Arial" w:cs="Arial"/>
                <w:lang w:eastAsia="en-US"/>
              </w:rPr>
            </w:pPr>
          </w:p>
          <w:p w14:paraId="712B8B25" w14:textId="77777777" w:rsidR="006F6DAF" w:rsidRDefault="006F6DAF" w:rsidP="006F6DAF">
            <w:pPr>
              <w:rPr>
                <w:rFonts w:ascii="Arial" w:hAnsi="Arial" w:cs="Arial"/>
              </w:rPr>
            </w:pPr>
            <w:r>
              <w:rPr>
                <w:rFonts w:ascii="Arial" w:hAnsi="Arial" w:cs="Arial"/>
              </w:rPr>
              <w:t>In recent years the scope of MMP has expanded and it has quickly become a pivotal part of the medicines reimbursement process in Ireland. Health Technology Management (HTM) is a key component; it refers to measures put in place to enhance the safe, effective and cost-effective use of medicines, thereby controlling utilisation and expenditure.</w:t>
            </w:r>
          </w:p>
          <w:p w14:paraId="2E8609F9" w14:textId="054CD553" w:rsidR="006F6DAF" w:rsidRDefault="006F6DAF" w:rsidP="006F6DAF">
            <w:pPr>
              <w:rPr>
                <w:rFonts w:ascii="Arial" w:hAnsi="Arial" w:cs="Arial"/>
              </w:rPr>
            </w:pPr>
            <w:r>
              <w:rPr>
                <w:rFonts w:ascii="Arial" w:hAnsi="Arial" w:cs="Arial"/>
              </w:rPr>
              <w:t xml:space="preserve">The MMP currently manages </w:t>
            </w:r>
            <w:r w:rsidRPr="008E4C92">
              <w:rPr>
                <w:rFonts w:ascii="Arial" w:hAnsi="Arial" w:cs="Arial"/>
              </w:rPr>
              <w:t xml:space="preserve">over </w:t>
            </w:r>
            <w:r w:rsidR="00F20EF4" w:rsidRPr="008E4C92">
              <w:rPr>
                <w:rFonts w:ascii="Arial" w:hAnsi="Arial" w:cs="Arial"/>
              </w:rPr>
              <w:t>34</w:t>
            </w:r>
            <w:r w:rsidR="000A61D5">
              <w:rPr>
                <w:rFonts w:ascii="Arial" w:hAnsi="Arial" w:cs="Arial"/>
              </w:rPr>
              <w:t xml:space="preserve"> </w:t>
            </w:r>
            <w:r w:rsidRPr="008E4C92">
              <w:rPr>
                <w:rFonts w:ascii="Arial" w:hAnsi="Arial" w:cs="Arial"/>
              </w:rPr>
              <w:t>HTM projects</w:t>
            </w:r>
            <w:r>
              <w:rPr>
                <w:rFonts w:ascii="Arial" w:hAnsi="Arial" w:cs="Arial"/>
              </w:rPr>
              <w:t xml:space="preserve"> in the Irish Healthcare setting including:</w:t>
            </w:r>
          </w:p>
          <w:p w14:paraId="67394EED" w14:textId="77777777" w:rsidR="006F6DAF" w:rsidRDefault="006F6DAF" w:rsidP="006F6DAF">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 xml:space="preserve">Reimbursement Application Systems (RAS) </w:t>
            </w:r>
          </w:p>
          <w:p w14:paraId="1C95C027" w14:textId="77777777" w:rsidR="006F6DAF" w:rsidRDefault="006F6DAF" w:rsidP="006F6DAF">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 xml:space="preserve">Managed Access Processes (MAPs) and </w:t>
            </w:r>
          </w:p>
          <w:p w14:paraId="37F95AC8" w14:textId="7E9F288A" w:rsidR="006F6DAF" w:rsidRDefault="006F6DAF" w:rsidP="006F6DAF">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Best-Value Biologic</w:t>
            </w:r>
            <w:r w:rsidR="000A61D5">
              <w:rPr>
                <w:rFonts w:ascii="Arial" w:eastAsia="Calibri" w:hAnsi="Arial" w:cs="Arial"/>
                <w:lang w:val="en-IE" w:eastAsia="en-US"/>
              </w:rPr>
              <w:t>al</w:t>
            </w:r>
            <w:r>
              <w:rPr>
                <w:rFonts w:ascii="Arial" w:eastAsia="Calibri" w:hAnsi="Arial" w:cs="Arial"/>
                <w:lang w:val="en-IE" w:eastAsia="en-US"/>
              </w:rPr>
              <w:t xml:space="preserve"> (BVB) projects. </w:t>
            </w:r>
          </w:p>
          <w:p w14:paraId="2D066E97" w14:textId="77777777" w:rsidR="006F6DAF" w:rsidRDefault="006F6DAF" w:rsidP="006F6DAF">
            <w:pPr>
              <w:rPr>
                <w:rFonts w:ascii="Arial" w:hAnsi="Arial" w:cs="Arial"/>
                <w:i/>
                <w:lang w:eastAsia="en-US"/>
              </w:rPr>
            </w:pPr>
          </w:p>
          <w:p w14:paraId="6ACD5E2F" w14:textId="77777777" w:rsidR="006F6DAF" w:rsidRDefault="006F6DAF" w:rsidP="006F6DAF">
            <w:pPr>
              <w:numPr>
                <w:ilvl w:val="0"/>
                <w:numId w:val="28"/>
              </w:numPr>
              <w:jc w:val="both"/>
              <w:rPr>
                <w:rFonts w:ascii="Arial" w:hAnsi="Arial" w:cs="Arial"/>
                <w:lang w:eastAsia="en-US"/>
              </w:rPr>
            </w:pPr>
            <w:r>
              <w:rPr>
                <w:rFonts w:ascii="Arial" w:hAnsi="Arial" w:cs="Arial"/>
                <w:lang w:eastAsia="en-US"/>
              </w:rPr>
              <w:t>Reimbursement application systems (RAS) are online systems to support evidence-based reimbursement of high cost/high budget impact areas e.g. Lidocaine (Versatis</w:t>
            </w:r>
            <w:r w:rsidRPr="00A43F42">
              <w:rPr>
                <w:rFonts w:ascii="Arial" w:hAnsi="Arial" w:cs="Arial"/>
                <w:vertAlign w:val="superscript"/>
                <w:lang w:eastAsia="en-US"/>
              </w:rPr>
              <w:t>®</w:t>
            </w:r>
            <w:r>
              <w:rPr>
                <w:rFonts w:ascii="Arial" w:hAnsi="Arial" w:cs="Arial"/>
                <w:lang w:eastAsia="en-US"/>
              </w:rPr>
              <w:t>) medicated plaster, sacubitril/valsartan (Entresto</w:t>
            </w:r>
            <w:r w:rsidRPr="00A43F42">
              <w:rPr>
                <w:rFonts w:ascii="Arial" w:hAnsi="Arial" w:cs="Arial"/>
                <w:vertAlign w:val="superscript"/>
                <w:lang w:eastAsia="en-US"/>
              </w:rPr>
              <w:t>®</w:t>
            </w:r>
            <w:r>
              <w:rPr>
                <w:rFonts w:ascii="Arial" w:hAnsi="Arial" w:cs="Arial"/>
                <w:lang w:eastAsia="en-US"/>
              </w:rPr>
              <w:t>), oral nutritional supplements (ONS)</w:t>
            </w:r>
          </w:p>
          <w:p w14:paraId="63A32E47" w14:textId="77777777" w:rsidR="006F6DAF" w:rsidRDefault="006F6DAF" w:rsidP="006F6DAF">
            <w:pPr>
              <w:jc w:val="both"/>
              <w:rPr>
                <w:rFonts w:ascii="Arial" w:hAnsi="Arial" w:cs="Arial"/>
                <w:lang w:eastAsia="en-US"/>
              </w:rPr>
            </w:pPr>
          </w:p>
          <w:p w14:paraId="7852FCDC" w14:textId="29BD200C" w:rsidR="006F6DAF" w:rsidRPr="00A43F42" w:rsidRDefault="006F6DAF" w:rsidP="00A43F42">
            <w:pPr>
              <w:numPr>
                <w:ilvl w:val="0"/>
                <w:numId w:val="28"/>
              </w:numPr>
              <w:jc w:val="both"/>
              <w:rPr>
                <w:rFonts w:ascii="Arial" w:hAnsi="Arial" w:cs="Arial"/>
              </w:rPr>
            </w:pPr>
            <w:r w:rsidRPr="00A43F42">
              <w:rPr>
                <w:rFonts w:ascii="Arial" w:hAnsi="Arial" w:cs="Arial"/>
                <w:lang w:eastAsia="en-US"/>
              </w:rPr>
              <w:t>Managed Access Processes to support patient access to high cost/ high budget impact treatments in the Irish healthcare setting. This process supports the HSE to ensure value for money and oversight of allocation of scarce healthcare resources, a core principle of Slaintecare</w:t>
            </w:r>
            <w:r w:rsidR="007C1BA7">
              <w:rPr>
                <w:rFonts w:ascii="Arial" w:hAnsi="Arial" w:cs="Arial"/>
                <w:lang w:eastAsia="en-US"/>
              </w:rPr>
              <w:t xml:space="preserve">, </w:t>
            </w:r>
            <w:r w:rsidR="00A43F42" w:rsidRPr="00A43F42">
              <w:rPr>
                <w:rFonts w:ascii="Arial" w:hAnsi="Arial" w:cs="Arial"/>
                <w:lang w:eastAsia="en-US"/>
              </w:rPr>
              <w:t xml:space="preserve">in </w:t>
            </w:r>
            <w:r w:rsidR="00A43F42">
              <w:rPr>
                <w:rFonts w:ascii="Arial" w:hAnsi="Arial" w:cs="Arial"/>
                <w:lang w:eastAsia="en-US"/>
              </w:rPr>
              <w:t xml:space="preserve">a variety of therapeutic areas including </w:t>
            </w:r>
            <w:r w:rsidR="00A43F42" w:rsidRPr="00A43F42">
              <w:rPr>
                <w:rFonts w:ascii="Arial" w:hAnsi="Arial" w:cs="Arial"/>
                <w:lang w:eastAsia="en-US"/>
              </w:rPr>
              <w:t>dermatology, cardiology and neurology.</w:t>
            </w:r>
            <w:r w:rsidRPr="00A43F42">
              <w:rPr>
                <w:rFonts w:ascii="Arial" w:hAnsi="Arial" w:cs="Arial"/>
                <w:lang w:eastAsia="en-US"/>
              </w:rPr>
              <w:t xml:space="preserve"> </w:t>
            </w:r>
          </w:p>
          <w:p w14:paraId="47BE0A1F" w14:textId="595CC776" w:rsidR="008E4C92" w:rsidRDefault="008E4C92" w:rsidP="008E4C92">
            <w:pPr>
              <w:ind w:left="98"/>
              <w:rPr>
                <w:rFonts w:ascii="Arial" w:hAnsi="Arial" w:cs="Arial"/>
              </w:rPr>
            </w:pPr>
            <w:r>
              <w:rPr>
                <w:rFonts w:ascii="Arial" w:hAnsi="Arial" w:cs="Arial"/>
              </w:rPr>
              <w:t xml:space="preserve"> </w:t>
            </w:r>
          </w:p>
          <w:p w14:paraId="78F9B9AB" w14:textId="575CF293" w:rsidR="00F20EF4" w:rsidRPr="008E4C92" w:rsidRDefault="008E4C92" w:rsidP="00F20EF4">
            <w:pPr>
              <w:pStyle w:val="ListParagraph"/>
              <w:numPr>
                <w:ilvl w:val="0"/>
                <w:numId w:val="32"/>
              </w:numPr>
              <w:contextualSpacing/>
              <w:rPr>
                <w:rFonts w:ascii="Arial" w:hAnsi="Arial" w:cs="Arial"/>
                <w14:ligatures w14:val="standardContextual"/>
              </w:rPr>
            </w:pPr>
            <w:r>
              <w:rPr>
                <w:rFonts w:ascii="Arial" w:hAnsi="Arial" w:cs="Arial"/>
              </w:rPr>
              <w:lastRenderedPageBreak/>
              <w:t xml:space="preserve">Best-Value biological (BVB)/Best-Value Medicines (BVM) </w:t>
            </w:r>
            <w:r w:rsidR="00F20EF4" w:rsidRPr="008E4C92">
              <w:rPr>
                <w:rFonts w:ascii="Arial" w:hAnsi="Arial" w:cs="Arial"/>
                <w14:ligatures w14:val="standardContextual"/>
              </w:rPr>
              <w:t xml:space="preserve">initiative </w:t>
            </w:r>
            <w:r w:rsidR="00F32B9D" w:rsidRPr="008E4C92">
              <w:rPr>
                <w:rFonts w:ascii="Arial" w:hAnsi="Arial" w:cs="Arial"/>
                <w14:ligatures w14:val="standardContextual"/>
              </w:rPr>
              <w:t>aims to promote the use of biosimilars and best-value medicines, when available, and to work with the HSE and clinicians to assist in increasing the uptake of these medicines in Ireland. The MMP has identified BVB/BVMs for the following medicines</w:t>
            </w:r>
            <w:r w:rsidR="00F20EF4" w:rsidRPr="008E4C92">
              <w:rPr>
                <w:rFonts w:ascii="Arial" w:hAnsi="Arial" w:cs="Arial"/>
                <w14:ligatures w14:val="standardContextual"/>
              </w:rPr>
              <w:t>:</w:t>
            </w:r>
          </w:p>
          <w:p w14:paraId="1F54CA29" w14:textId="77777777" w:rsidR="00F20EF4" w:rsidRPr="008E4C92" w:rsidRDefault="00F20EF4" w:rsidP="00F20EF4">
            <w:pPr>
              <w:numPr>
                <w:ilvl w:val="0"/>
                <w:numId w:val="33"/>
              </w:numPr>
              <w:contextualSpacing/>
              <w:rPr>
                <w:rFonts w:ascii="Arial" w:hAnsi="Arial" w:cs="Arial"/>
                <w14:ligatures w14:val="standardContextual"/>
              </w:rPr>
            </w:pPr>
            <w:r w:rsidRPr="008E4C92">
              <w:rPr>
                <w:rFonts w:ascii="Arial" w:hAnsi="Arial" w:cs="Arial"/>
                <w14:ligatures w14:val="standardContextual"/>
              </w:rPr>
              <w:t>Adalimumab</w:t>
            </w:r>
          </w:p>
          <w:p w14:paraId="12DC563F" w14:textId="77777777" w:rsidR="00F20EF4" w:rsidRPr="008E4C92" w:rsidRDefault="00F20EF4" w:rsidP="00F20EF4">
            <w:pPr>
              <w:numPr>
                <w:ilvl w:val="0"/>
                <w:numId w:val="33"/>
              </w:numPr>
              <w:contextualSpacing/>
              <w:rPr>
                <w:rFonts w:ascii="Arial" w:hAnsi="Arial" w:cs="Arial"/>
                <w14:ligatures w14:val="standardContextual"/>
              </w:rPr>
            </w:pPr>
            <w:r w:rsidRPr="008E4C92">
              <w:rPr>
                <w:rFonts w:ascii="Arial" w:hAnsi="Arial" w:cs="Arial"/>
                <w14:ligatures w14:val="standardContextual"/>
              </w:rPr>
              <w:t>Etanercept</w:t>
            </w:r>
          </w:p>
          <w:p w14:paraId="29E57013" w14:textId="77777777" w:rsidR="00F20EF4" w:rsidRPr="008E4C92" w:rsidRDefault="00F20EF4" w:rsidP="00F20EF4">
            <w:pPr>
              <w:numPr>
                <w:ilvl w:val="0"/>
                <w:numId w:val="33"/>
              </w:numPr>
              <w:contextualSpacing/>
              <w:rPr>
                <w:rFonts w:ascii="Arial" w:hAnsi="Arial" w:cs="Arial"/>
                <w14:ligatures w14:val="standardContextual"/>
              </w:rPr>
            </w:pPr>
            <w:r w:rsidRPr="008E4C92">
              <w:rPr>
                <w:rFonts w:ascii="Arial" w:hAnsi="Arial" w:cs="Arial"/>
                <w14:ligatures w14:val="standardContextual"/>
              </w:rPr>
              <w:t>Glatiramer</w:t>
            </w:r>
          </w:p>
          <w:p w14:paraId="620963CA" w14:textId="77777777" w:rsidR="00F20EF4" w:rsidRPr="008E4C92" w:rsidRDefault="00F20EF4" w:rsidP="00F20EF4">
            <w:pPr>
              <w:numPr>
                <w:ilvl w:val="0"/>
                <w:numId w:val="33"/>
              </w:numPr>
              <w:contextualSpacing/>
              <w:rPr>
                <w:rFonts w:ascii="Arial" w:hAnsi="Arial" w:cs="Arial"/>
                <w14:ligatures w14:val="standardContextual"/>
              </w:rPr>
            </w:pPr>
            <w:r w:rsidRPr="008E4C92">
              <w:rPr>
                <w:rFonts w:ascii="Arial" w:hAnsi="Arial" w:cs="Arial"/>
                <w14:ligatures w14:val="standardContextual"/>
              </w:rPr>
              <w:t>Granulocyte-colony stimulating factors (i.e. filgrastim, lipegfilgrastim, pegfilgrastim)</w:t>
            </w:r>
          </w:p>
          <w:p w14:paraId="1D4622E3" w14:textId="77777777" w:rsidR="00F20EF4" w:rsidRPr="008E4C92" w:rsidRDefault="00F20EF4" w:rsidP="00F20EF4">
            <w:pPr>
              <w:numPr>
                <w:ilvl w:val="0"/>
                <w:numId w:val="33"/>
              </w:numPr>
              <w:contextualSpacing/>
              <w:rPr>
                <w:rFonts w:ascii="Arial" w:hAnsi="Arial" w:cs="Arial"/>
                <w14:ligatures w14:val="standardContextual"/>
              </w:rPr>
            </w:pPr>
            <w:r w:rsidRPr="008E4C92">
              <w:rPr>
                <w:rFonts w:ascii="Arial" w:hAnsi="Arial" w:cs="Arial"/>
                <w14:ligatures w14:val="standardContextual"/>
              </w:rPr>
              <w:t>Teriparatide.</w:t>
            </w:r>
          </w:p>
          <w:p w14:paraId="7FBC3170" w14:textId="77777777" w:rsidR="00F20EF4" w:rsidRDefault="00F20EF4" w:rsidP="008E4C92">
            <w:pPr>
              <w:rPr>
                <w:rFonts w:ascii="Arial" w:hAnsi="Arial" w:cs="Arial"/>
              </w:rPr>
            </w:pPr>
          </w:p>
          <w:p w14:paraId="0AE4B5A1" w14:textId="4C915D7C" w:rsidR="00F20EF4" w:rsidRPr="00F6254C" w:rsidRDefault="00F20EF4" w:rsidP="00F20EF4">
            <w:pPr>
              <w:ind w:left="98"/>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4CA718DA" w14:textId="35FF7890" w:rsidR="006F6DAF" w:rsidRDefault="006F6DAF" w:rsidP="006F6DAF">
            <w:pPr>
              <w:jc w:val="both"/>
              <w:rPr>
                <w:rFonts w:ascii="Arial" w:hAnsi="Arial" w:cs="Arial"/>
                <w:color w:val="000000"/>
              </w:rPr>
            </w:pPr>
            <w:r>
              <w:rPr>
                <w:rFonts w:ascii="Arial" w:hAnsi="Arial" w:cs="Arial"/>
                <w:color w:val="000000"/>
              </w:rPr>
              <w:t>The post holder will report directly to the Medicines Management Programme National Clinical Lead</w:t>
            </w:r>
            <w:r w:rsidR="00C45831">
              <w:rPr>
                <w:rFonts w:ascii="Arial" w:hAnsi="Arial" w:cs="Arial"/>
                <w:color w:val="000000"/>
              </w:rPr>
              <w:t xml:space="preserve"> </w:t>
            </w:r>
            <w:r w:rsidR="00C45831" w:rsidRPr="00C45831">
              <w:rPr>
                <w:rFonts w:ascii="Arial" w:hAnsi="Arial" w:cs="Arial"/>
                <w:color w:val="000000"/>
              </w:rPr>
              <w:t>or their designate</w:t>
            </w:r>
            <w:r>
              <w:rPr>
                <w:rFonts w:ascii="Arial" w:hAnsi="Arial" w:cs="Arial"/>
                <w:color w:val="000000"/>
              </w:rPr>
              <w:t xml:space="preserve">. </w:t>
            </w:r>
          </w:p>
          <w:p w14:paraId="3CBC6A3A" w14:textId="246B8A58" w:rsidR="00E0768C" w:rsidRPr="00F6254C" w:rsidRDefault="00E0768C" w:rsidP="006F6DAF">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111ADFE3" w:rsidR="00792F91" w:rsidRPr="0033762B" w:rsidRDefault="006F6DAF" w:rsidP="007C1BA7">
            <w:pPr>
              <w:rPr>
                <w:rFonts w:ascii="Arial" w:hAnsi="Arial" w:cs="Arial"/>
                <w:iCs/>
                <w:color w:val="000099"/>
              </w:rPr>
            </w:pPr>
            <w:r>
              <w:rPr>
                <w:rFonts w:ascii="Arial" w:hAnsi="Arial" w:cs="Arial"/>
                <w:iCs/>
              </w:rPr>
              <w:t>The post holder will work collaboratively with the Clinical Lead</w:t>
            </w:r>
            <w:r w:rsidR="007C1BA7">
              <w:rPr>
                <w:rFonts w:ascii="Arial" w:hAnsi="Arial" w:cs="Arial"/>
                <w:iCs/>
              </w:rPr>
              <w:t xml:space="preserve"> and other MMP team members</w:t>
            </w:r>
            <w:r>
              <w:rPr>
                <w:rFonts w:ascii="Arial" w:hAnsi="Arial" w:cs="Arial"/>
                <w:iCs/>
              </w:rPr>
              <w:t xml:space="preserve"> on a daily basis. Other key relationships include staff in the PCRS, the High Tech coordination unit, Corporate Pharmaceutical Unit (CPU), National Medicines Information Centre (NMIC) and the National Centre for Pharmacoeconomics (NCPE). The role will also involve developing working relationships with other healthcare professionals as appropriate.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5BDF39C" w14:textId="79691FEF" w:rsidR="006F6DAF" w:rsidRDefault="006F6DAF" w:rsidP="006F6DAF">
            <w:pPr>
              <w:jc w:val="both"/>
              <w:rPr>
                <w:rFonts w:ascii="Arial" w:hAnsi="Arial" w:cs="Arial"/>
                <w:color w:val="000000"/>
              </w:rPr>
            </w:pPr>
            <w:r>
              <w:rPr>
                <w:rFonts w:ascii="Arial" w:hAnsi="Arial" w:cs="Arial"/>
                <w:color w:val="000000"/>
              </w:rPr>
              <w:t>The overall purpose of the post is to develop, participate, implement and report on prescribing initiatives aimed at improving the quality and cost-effectiveness of prescribing in the Irish health services.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588C805" w14:textId="77777777" w:rsidR="006F6DAF" w:rsidRDefault="006F6DAF" w:rsidP="006F6DAF">
            <w:pPr>
              <w:spacing w:line="276" w:lineRule="auto"/>
              <w:rPr>
                <w:rFonts w:ascii="Arial" w:hAnsi="Arial" w:cs="Arial"/>
                <w:b/>
                <w:iCs/>
                <w:u w:val="single"/>
              </w:rPr>
            </w:pPr>
            <w:r>
              <w:rPr>
                <w:rFonts w:ascii="Arial" w:hAnsi="Arial" w:cs="Arial"/>
                <w:b/>
                <w:iCs/>
                <w:u w:val="single"/>
              </w:rPr>
              <w:t>Clinical Services</w:t>
            </w:r>
          </w:p>
          <w:p w14:paraId="4B6E4ED8" w14:textId="77777777" w:rsidR="006F6DAF" w:rsidRDefault="006F6DAF" w:rsidP="006F6DAF">
            <w:pPr>
              <w:spacing w:line="276" w:lineRule="auto"/>
              <w:rPr>
                <w:rFonts w:ascii="Arial" w:hAnsi="Arial" w:cs="Arial"/>
                <w:b/>
                <w:i/>
                <w:iCs/>
              </w:rPr>
            </w:pPr>
          </w:p>
          <w:p w14:paraId="61D384F1" w14:textId="77777777" w:rsidR="006F6DAF" w:rsidRDefault="006F6DAF" w:rsidP="006F6DAF">
            <w:pPr>
              <w:tabs>
                <w:tab w:val="left" w:pos="283"/>
              </w:tabs>
              <w:spacing w:line="276" w:lineRule="auto"/>
              <w:rPr>
                <w:rFonts w:ascii="Arial" w:hAnsi="Arial" w:cs="Arial"/>
                <w:i/>
                <w:iCs/>
              </w:rPr>
            </w:pPr>
            <w:r>
              <w:rPr>
                <w:rFonts w:ascii="Arial" w:hAnsi="Arial" w:cs="Arial"/>
                <w:i/>
                <w:iCs/>
              </w:rPr>
              <w:t>The Pharmacist Senior</w:t>
            </w:r>
            <w:r>
              <w:rPr>
                <w:rFonts w:ascii="Arial" w:hAnsi="Arial" w:cs="Arial"/>
                <w:i/>
                <w:noProof/>
                <w:lang w:val="en-US" w:eastAsia="en-US"/>
              </w:rPr>
              <w:t xml:space="preserve"> (Medicines Management Programme) will:</w:t>
            </w:r>
          </w:p>
          <w:p w14:paraId="0A9FEE8A" w14:textId="77777777" w:rsidR="006F6DAF" w:rsidRDefault="006F6DAF" w:rsidP="006F6DAF">
            <w:pPr>
              <w:spacing w:line="276" w:lineRule="auto"/>
              <w:rPr>
                <w:rFonts w:ascii="Arial" w:hAnsi="Arial" w:cs="Arial"/>
                <w:b/>
                <w:i/>
                <w:iCs/>
              </w:rPr>
            </w:pPr>
          </w:p>
          <w:p w14:paraId="348EE792" w14:textId="26BE9BBB"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Develop, participate and implement prescribing initiatives aimed at improving quality and cost-effectiveness of prescribing in the Irish health services.</w:t>
            </w:r>
          </w:p>
          <w:p w14:paraId="695691CC" w14:textId="77777777" w:rsidR="006F6DAF" w:rsidRDefault="006F6DAF" w:rsidP="006F6DAF">
            <w:pPr>
              <w:numPr>
                <w:ilvl w:val="0"/>
                <w:numId w:val="29"/>
              </w:numPr>
              <w:spacing w:after="120" w:line="276" w:lineRule="auto"/>
              <w:rPr>
                <w:rFonts w:ascii="Arial" w:hAnsi="Arial" w:cs="Arial"/>
                <w:lang w:val="en-IE" w:eastAsia="en-IE"/>
              </w:rPr>
            </w:pPr>
            <w:r>
              <w:rPr>
                <w:rFonts w:ascii="Arial" w:hAnsi="Arial" w:cs="Arial"/>
                <w:lang w:val="en-IE" w:eastAsia="en-IE"/>
              </w:rPr>
              <w:t>Undertake, partake and develop relevant research in the area ensuring awareness of best practices and recent international developments.</w:t>
            </w:r>
          </w:p>
          <w:p w14:paraId="39241D12" w14:textId="77777777" w:rsidR="006F6DAF" w:rsidRDefault="006F6DAF" w:rsidP="006F6DAF">
            <w:pPr>
              <w:numPr>
                <w:ilvl w:val="0"/>
                <w:numId w:val="29"/>
              </w:numPr>
              <w:spacing w:after="120" w:line="276" w:lineRule="auto"/>
              <w:rPr>
                <w:rFonts w:ascii="Arial" w:hAnsi="Arial" w:cs="Arial"/>
                <w:iCs/>
              </w:rPr>
            </w:pPr>
            <w:r>
              <w:rPr>
                <w:rFonts w:ascii="Arial" w:hAnsi="Arial" w:cs="Arial"/>
                <w:iCs/>
              </w:rPr>
              <w:t>Provide advice, as required, on the proper and economic use of drugs and medicines including participation in schemes for the dissemination of information in relation to drugs and drug usage designed to deliver optimal care economically.</w:t>
            </w:r>
          </w:p>
          <w:p w14:paraId="397C0CD6" w14:textId="4F0BD085"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 xml:space="preserve">To work with prescribers in the acute hospital setting </w:t>
            </w:r>
            <w:r w:rsidR="007C1BA7">
              <w:rPr>
                <w:rFonts w:ascii="Arial" w:hAnsi="Arial" w:cs="Arial"/>
                <w:lang w:val="en-IE" w:eastAsia="en-IE"/>
              </w:rPr>
              <w:t xml:space="preserve">and the primary care setting. </w:t>
            </w:r>
          </w:p>
          <w:p w14:paraId="67054AA7"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To promote comparative and cost-effective evidence on prescribing</w:t>
            </w:r>
          </w:p>
          <w:p w14:paraId="510DCB7F"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To produce and provide feedback and prescribing advice to prescribers based on PCRS data and best practice recommendations</w:t>
            </w:r>
          </w:p>
          <w:p w14:paraId="1944B762"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To provide prescribing support, training and education to prescribers, other health care professionals and patients where appropriate</w:t>
            </w:r>
          </w:p>
          <w:p w14:paraId="7C3BE1D2" w14:textId="77777777" w:rsidR="006F6DAF" w:rsidRDefault="006F6DAF" w:rsidP="006F6DAF">
            <w:pPr>
              <w:numPr>
                <w:ilvl w:val="0"/>
                <w:numId w:val="29"/>
              </w:numPr>
              <w:spacing w:after="120" w:line="276" w:lineRule="auto"/>
              <w:rPr>
                <w:rFonts w:ascii="Arial" w:hAnsi="Arial" w:cs="Arial"/>
                <w:iCs/>
              </w:rPr>
            </w:pPr>
            <w:r>
              <w:rPr>
                <w:rFonts w:ascii="Arial" w:hAnsi="Arial" w:cs="Arial"/>
                <w:lang w:val="en-IE" w:eastAsia="en-IE"/>
              </w:rPr>
              <w:t>Maintain relevant databases and develop outcomes research.</w:t>
            </w:r>
          </w:p>
          <w:p w14:paraId="20533079" w14:textId="77777777" w:rsidR="006F6DAF" w:rsidRDefault="006F6DAF" w:rsidP="006F6DAF">
            <w:pPr>
              <w:numPr>
                <w:ilvl w:val="0"/>
                <w:numId w:val="29"/>
              </w:numPr>
              <w:spacing w:after="120" w:line="276" w:lineRule="auto"/>
              <w:rPr>
                <w:rFonts w:ascii="Arial" w:hAnsi="Arial" w:cs="Arial"/>
                <w:iCs/>
              </w:rPr>
            </w:pPr>
            <w:r>
              <w:rPr>
                <w:rFonts w:ascii="Arial" w:hAnsi="Arial" w:cs="Arial"/>
                <w:lang w:val="en-IE" w:eastAsia="en-IE"/>
              </w:rPr>
              <w:t>Promote comparative and cost-effective evidence on prescribing.</w:t>
            </w:r>
          </w:p>
          <w:p w14:paraId="32775D1C"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Assess patient and clinical level experience of new and existing technologies.</w:t>
            </w:r>
          </w:p>
          <w:p w14:paraId="283BDC22" w14:textId="77777777" w:rsidR="006F6DAF" w:rsidRDefault="006F6DAF" w:rsidP="006F6DAF">
            <w:pPr>
              <w:numPr>
                <w:ilvl w:val="0"/>
                <w:numId w:val="29"/>
              </w:numPr>
              <w:spacing w:after="120" w:line="276" w:lineRule="auto"/>
              <w:rPr>
                <w:rFonts w:ascii="Arial" w:hAnsi="Arial" w:cs="Arial"/>
                <w:lang w:val="en-IE" w:eastAsia="en-IE"/>
              </w:rPr>
            </w:pPr>
            <w:r>
              <w:rPr>
                <w:rFonts w:ascii="Arial" w:hAnsi="Arial" w:cs="Arial"/>
                <w:lang w:val="en-IE" w:eastAsia="en-IE"/>
              </w:rPr>
              <w:t>Investigate the utilisation and expenditure of medicines under the community drugs schemes using the HSE prescribing databases.</w:t>
            </w:r>
          </w:p>
          <w:p w14:paraId="1B78B97A"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lastRenderedPageBreak/>
              <w:t>Provide prescribing support, training and education to GPs, other health care professionals and patients where appropriate.</w:t>
            </w:r>
          </w:p>
          <w:p w14:paraId="01704ED9"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Maintain and develop professional expertise and knowledge by actively engaging in continuing professional development.</w:t>
            </w:r>
          </w:p>
          <w:p w14:paraId="4C8D7FEC"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Work as part of a team to develop all Medicines Management Programme initiatives and report all relevant issues to the Clinical Lead and Management.</w:t>
            </w:r>
          </w:p>
          <w:p w14:paraId="6B715733" w14:textId="77777777" w:rsidR="006F6DAF" w:rsidRDefault="006F6DAF" w:rsidP="006F6DAF">
            <w:pPr>
              <w:tabs>
                <w:tab w:val="num" w:pos="408"/>
              </w:tabs>
              <w:spacing w:line="276" w:lineRule="auto"/>
              <w:ind w:right="340"/>
              <w:rPr>
                <w:rFonts w:ascii="Arial" w:hAnsi="Arial" w:cs="Arial"/>
              </w:rPr>
            </w:pPr>
          </w:p>
          <w:p w14:paraId="762B3C5B" w14:textId="77777777" w:rsidR="006F6DAF" w:rsidRDefault="006F6DAF" w:rsidP="006F6DAF">
            <w:pPr>
              <w:tabs>
                <w:tab w:val="num" w:pos="408"/>
              </w:tabs>
              <w:spacing w:line="276" w:lineRule="auto"/>
              <w:ind w:right="340"/>
              <w:rPr>
                <w:rFonts w:ascii="Arial" w:hAnsi="Arial" w:cs="Arial"/>
                <w:b/>
                <w:u w:val="single"/>
              </w:rPr>
            </w:pPr>
            <w:r>
              <w:rPr>
                <w:rFonts w:ascii="Arial" w:hAnsi="Arial" w:cs="Arial"/>
                <w:b/>
                <w:u w:val="single"/>
              </w:rPr>
              <w:t>Educational</w:t>
            </w:r>
          </w:p>
          <w:p w14:paraId="73B76092" w14:textId="77777777" w:rsidR="006F6DAF" w:rsidRDefault="006F6DAF" w:rsidP="006F6DAF">
            <w:pPr>
              <w:tabs>
                <w:tab w:val="num" w:pos="408"/>
              </w:tabs>
              <w:spacing w:line="276" w:lineRule="auto"/>
              <w:ind w:left="48" w:right="340"/>
              <w:rPr>
                <w:rFonts w:ascii="Arial" w:hAnsi="Arial" w:cs="Arial"/>
                <w:b/>
              </w:rPr>
            </w:pPr>
          </w:p>
          <w:p w14:paraId="5D00C86F" w14:textId="77777777" w:rsidR="006F6DAF" w:rsidRDefault="006F6DAF" w:rsidP="006F6DAF">
            <w:pPr>
              <w:tabs>
                <w:tab w:val="left" w:pos="283"/>
              </w:tabs>
              <w:spacing w:line="276" w:lineRule="auto"/>
              <w:rPr>
                <w:rFonts w:ascii="Arial" w:hAnsi="Arial" w:cs="Arial"/>
                <w:i/>
                <w:iCs/>
              </w:rPr>
            </w:pPr>
            <w:r>
              <w:rPr>
                <w:rFonts w:ascii="Arial" w:hAnsi="Arial" w:cs="Arial"/>
                <w:i/>
                <w:iCs/>
              </w:rPr>
              <w:t>The Pharmacist Senior</w:t>
            </w:r>
            <w:r>
              <w:rPr>
                <w:rFonts w:ascii="Arial" w:hAnsi="Arial" w:cs="Arial"/>
                <w:i/>
                <w:noProof/>
                <w:lang w:val="en-US" w:eastAsia="en-US"/>
              </w:rPr>
              <w:t xml:space="preserve"> (Medicines Management Programme) will:</w:t>
            </w:r>
          </w:p>
          <w:p w14:paraId="02162CDC" w14:textId="77777777" w:rsidR="006F6DAF" w:rsidRDefault="006F6DAF" w:rsidP="006F6DAF">
            <w:pPr>
              <w:tabs>
                <w:tab w:val="num" w:pos="408"/>
              </w:tabs>
              <w:spacing w:line="276" w:lineRule="auto"/>
              <w:ind w:left="408" w:right="340"/>
              <w:rPr>
                <w:rFonts w:ascii="Arial" w:hAnsi="Arial" w:cs="Arial"/>
              </w:rPr>
            </w:pPr>
          </w:p>
          <w:p w14:paraId="27C3A1EE"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Deliver training and education to medical, nursing and pharmacy staff through induction days, study days, journal club and other educational events.</w:t>
            </w:r>
          </w:p>
          <w:p w14:paraId="1727EF2C"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Supervise and tutor pharmacy students and other students during work experience placements in the department.</w:t>
            </w:r>
          </w:p>
          <w:p w14:paraId="720F2EF1" w14:textId="3987E9A8"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Participate in continuing education and in such activities consistent with the post.  Attend such study days and continuing education courses as may be deemed necessary for the development of both the service and the individual.</w:t>
            </w:r>
          </w:p>
          <w:p w14:paraId="2E1B995D" w14:textId="38ECD01A" w:rsidR="005C6C4E" w:rsidRPr="005C6C4E" w:rsidRDefault="005C6C4E" w:rsidP="005C6C4E">
            <w:pPr>
              <w:pStyle w:val="ListParagraph"/>
              <w:numPr>
                <w:ilvl w:val="0"/>
                <w:numId w:val="29"/>
              </w:numPr>
              <w:rPr>
                <w:rFonts w:ascii="Arial" w:hAnsi="Arial" w:cs="Arial"/>
                <w:iCs/>
              </w:rPr>
            </w:pPr>
            <w:r w:rsidRPr="005C6C4E">
              <w:rPr>
                <w:rFonts w:ascii="Arial" w:hAnsi="Arial" w:cs="Arial"/>
                <w:iCs/>
              </w:rPr>
              <w:t>Engage in the HSE performance achievement process in conjunction with your Line Manager and staff as appropriate.</w:t>
            </w:r>
          </w:p>
          <w:p w14:paraId="4B88CA16" w14:textId="77777777" w:rsidR="006F6DAF" w:rsidRDefault="006F6DAF" w:rsidP="006F6DAF">
            <w:pPr>
              <w:autoSpaceDE w:val="0"/>
              <w:autoSpaceDN w:val="0"/>
              <w:adjustRightInd w:val="0"/>
              <w:spacing w:line="276" w:lineRule="auto"/>
              <w:rPr>
                <w:rFonts w:ascii="Arial" w:hAnsi="Arial" w:cs="Arial"/>
                <w:lang w:val="en-IE" w:eastAsia="en-IE"/>
              </w:rPr>
            </w:pPr>
          </w:p>
          <w:p w14:paraId="59BD959E" w14:textId="77777777" w:rsidR="006F6DAF" w:rsidRDefault="006F6DAF" w:rsidP="006F6DAF">
            <w:pPr>
              <w:spacing w:line="276" w:lineRule="auto"/>
              <w:rPr>
                <w:rFonts w:ascii="Arial" w:hAnsi="Arial" w:cs="Arial"/>
                <w:b/>
                <w:u w:val="single"/>
              </w:rPr>
            </w:pPr>
            <w:r>
              <w:rPr>
                <w:rFonts w:ascii="Arial" w:hAnsi="Arial" w:cs="Arial"/>
                <w:b/>
                <w:u w:val="single"/>
              </w:rPr>
              <w:t>Health &amp; Safety</w:t>
            </w:r>
          </w:p>
          <w:p w14:paraId="5921B041" w14:textId="77777777" w:rsidR="006F6DAF" w:rsidRDefault="006F6DAF" w:rsidP="006F6DAF">
            <w:pPr>
              <w:spacing w:line="276" w:lineRule="auto"/>
              <w:rPr>
                <w:rFonts w:ascii="Arial" w:hAnsi="Arial" w:cs="Arial"/>
                <w:b/>
              </w:rPr>
            </w:pPr>
          </w:p>
          <w:p w14:paraId="7C738FFE" w14:textId="77777777" w:rsidR="006F6DAF" w:rsidRDefault="006F6DAF" w:rsidP="006F6DAF">
            <w:pPr>
              <w:tabs>
                <w:tab w:val="left" w:pos="283"/>
              </w:tabs>
              <w:spacing w:line="276" w:lineRule="auto"/>
              <w:rPr>
                <w:rFonts w:ascii="Arial" w:hAnsi="Arial" w:cs="Arial"/>
                <w:i/>
                <w:iCs/>
              </w:rPr>
            </w:pPr>
            <w:r>
              <w:rPr>
                <w:rFonts w:ascii="Arial" w:hAnsi="Arial" w:cs="Arial"/>
                <w:i/>
                <w:iCs/>
              </w:rPr>
              <w:t>The Pharmacist Senior</w:t>
            </w:r>
            <w:r>
              <w:rPr>
                <w:rFonts w:ascii="Arial" w:hAnsi="Arial" w:cs="Arial"/>
                <w:i/>
                <w:noProof/>
                <w:lang w:val="en-US" w:eastAsia="en-US"/>
              </w:rPr>
              <w:t xml:space="preserve"> (Medicines Management Programme) will:</w:t>
            </w:r>
          </w:p>
          <w:p w14:paraId="7867F011" w14:textId="77777777" w:rsidR="006F6DAF" w:rsidRDefault="006F6DAF" w:rsidP="006F6DAF">
            <w:pPr>
              <w:spacing w:line="276" w:lineRule="auto"/>
              <w:rPr>
                <w:rFonts w:ascii="Arial" w:hAnsi="Arial" w:cs="Arial"/>
                <w:b/>
              </w:rPr>
            </w:pPr>
          </w:p>
          <w:p w14:paraId="4671B27D"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Take responsibility for care of his/ her own acts or omissions and the effect these may have upon the safety of themselves or any other person.</w:t>
            </w:r>
          </w:p>
          <w:p w14:paraId="12D9380F"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Use safety equipment or clothing in a proper manner and for the purpose intended.</w:t>
            </w:r>
          </w:p>
          <w:p w14:paraId="32485857"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 xml:space="preserve">Respect property/equipment supplied in the interests of health and safety </w:t>
            </w:r>
          </w:p>
          <w:p w14:paraId="1C71C09F"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Comply with health and safety procedures, instructions or training that has been given.</w:t>
            </w:r>
          </w:p>
          <w:p w14:paraId="52F76462"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Undertake any task for which they have not been authorised and for which they are not adequately trained.</w:t>
            </w:r>
          </w:p>
          <w:p w14:paraId="77D2EE85"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Take responsibility and bring to the attention of a responsible person any perceived shortcoming in safety arrangements or defects in work equipment.</w:t>
            </w:r>
          </w:p>
          <w:p w14:paraId="72156C3C"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Familiarise himself/herself with Risk Management / Fire, Health &amp; Safety Policies.</w:t>
            </w:r>
          </w:p>
          <w:p w14:paraId="03141D60" w14:textId="2796EB4C" w:rsidR="005C6C4E" w:rsidRPr="005C6C4E" w:rsidRDefault="005C6C4E" w:rsidP="005C6C4E">
            <w:pPr>
              <w:pStyle w:val="ListParagraph"/>
              <w:numPr>
                <w:ilvl w:val="0"/>
                <w:numId w:val="29"/>
              </w:numPr>
              <w:spacing w:before="100" w:beforeAutospacing="1" w:after="100" w:afterAutospacing="1"/>
              <w:contextualSpacing/>
              <w:rPr>
                <w:rFonts w:ascii="Arial" w:hAnsi="Arial" w:cs="Arial"/>
                <w:iCs/>
              </w:rPr>
            </w:pPr>
            <w:r w:rsidRPr="005C6C4E">
              <w:rPr>
                <w:rFonts w:ascii="Arial" w:hAnsi="Arial" w:cs="Arial"/>
                <w:iCs/>
              </w:rPr>
              <w:t>Adequately identify, assess, manage and monitor risks within their area of responsibility.</w:t>
            </w:r>
          </w:p>
          <w:p w14:paraId="2A6C04DB"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Have a working knowledge of HIQA Standards as they apply to the role for example, Standards for Healthcare, National Standards for the Prevention and Control of Healthcare Associated Infections, Hygiene Standards, Economic Guidelines etc.</w:t>
            </w:r>
          </w:p>
          <w:p w14:paraId="0D0312BD" w14:textId="77777777" w:rsidR="006F6DAF" w:rsidRDefault="006F6DAF" w:rsidP="006F6DAF">
            <w:pPr>
              <w:numPr>
                <w:ilvl w:val="0"/>
                <w:numId w:val="29"/>
              </w:numPr>
              <w:autoSpaceDE w:val="0"/>
              <w:autoSpaceDN w:val="0"/>
              <w:adjustRightInd w:val="0"/>
              <w:spacing w:after="120" w:line="276" w:lineRule="auto"/>
              <w:rPr>
                <w:rFonts w:ascii="Arial" w:hAnsi="Arial" w:cs="Arial"/>
                <w:lang w:val="en-IE" w:eastAsia="en-IE"/>
              </w:rPr>
            </w:pPr>
            <w:r>
              <w:rPr>
                <w:rFonts w:ascii="Arial" w:hAnsi="Arial" w:cs="Arial"/>
                <w:lang w:val="en-IE" w:eastAsia="en-IE"/>
              </w:rPr>
              <w:t>Support, promote and actively participate in sustainable energy, water and waste initiatives to create a more sustainable, low carbon and efficient health service.</w:t>
            </w:r>
          </w:p>
          <w:p w14:paraId="6D2CEE75" w14:textId="5649E795" w:rsidR="003E7EEE" w:rsidRPr="00795998" w:rsidRDefault="006F6DAF" w:rsidP="006F6DAF">
            <w:pPr>
              <w:spacing w:line="276" w:lineRule="auto"/>
              <w:rPr>
                <w:rFonts w:ascii="Arial" w:hAnsi="Arial" w:cs="Arial"/>
                <w:b/>
              </w:rPr>
            </w:pPr>
            <w:r>
              <w:rPr>
                <w:rFonts w:ascii="Arial" w:hAnsi="Arial" w:cs="Arial"/>
                <w:b/>
                <w:iCs/>
                <w:color w:val="000000"/>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color w:val="000000"/>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691A16A" w14:textId="77777777" w:rsidR="006F6DAF" w:rsidRDefault="006F6DAF" w:rsidP="006F6DAF">
            <w:pPr>
              <w:jc w:val="both"/>
              <w:rPr>
                <w:rFonts w:ascii="Arial" w:hAnsi="Arial" w:cs="Arial"/>
                <w:b/>
                <w:bCs/>
                <w:iCs/>
              </w:rPr>
            </w:pPr>
            <w:r>
              <w:rPr>
                <w:rFonts w:ascii="Arial" w:hAnsi="Arial" w:cs="Arial"/>
                <w:b/>
                <w:bCs/>
                <w:iCs/>
              </w:rPr>
              <w:t xml:space="preserve">Candidates must have at the latest date of application: </w:t>
            </w:r>
          </w:p>
          <w:p w14:paraId="3BEA2352" w14:textId="77777777" w:rsidR="006F6DAF" w:rsidRDefault="006F6DAF" w:rsidP="006F6DAF">
            <w:pPr>
              <w:jc w:val="both"/>
              <w:rPr>
                <w:rFonts w:ascii="Arial" w:hAnsi="Arial" w:cs="Arial"/>
                <w:b/>
                <w:bCs/>
                <w:i/>
                <w:iCs/>
              </w:rPr>
            </w:pPr>
          </w:p>
          <w:p w14:paraId="2059C307" w14:textId="77777777" w:rsidR="006F6DAF" w:rsidRDefault="006F6DAF" w:rsidP="006F6DAF">
            <w:pPr>
              <w:jc w:val="both"/>
              <w:rPr>
                <w:rFonts w:ascii="Arial" w:hAnsi="Arial" w:cs="Arial"/>
                <w:b/>
                <w:bCs/>
                <w:iCs/>
              </w:rPr>
            </w:pPr>
            <w:r>
              <w:rPr>
                <w:rFonts w:ascii="Arial" w:hAnsi="Arial" w:cs="Arial"/>
                <w:b/>
                <w:bCs/>
                <w:iCs/>
              </w:rPr>
              <w:t>1. Professional Qualifications, Experience etc.</w:t>
            </w:r>
          </w:p>
          <w:p w14:paraId="2E9BACE6" w14:textId="77777777" w:rsidR="006F6DAF" w:rsidRDefault="006F6DAF" w:rsidP="006F6DAF">
            <w:pPr>
              <w:jc w:val="both"/>
              <w:rPr>
                <w:rFonts w:ascii="Arial" w:hAnsi="Arial" w:cs="Arial"/>
                <w:b/>
                <w:bCs/>
                <w:iCs/>
              </w:rPr>
            </w:pPr>
          </w:p>
          <w:p w14:paraId="2544C6BA" w14:textId="77777777" w:rsidR="006F6DAF" w:rsidRDefault="006F6DAF" w:rsidP="006F6DAF">
            <w:pPr>
              <w:numPr>
                <w:ilvl w:val="0"/>
                <w:numId w:val="30"/>
              </w:numPr>
              <w:jc w:val="both"/>
              <w:rPr>
                <w:rFonts w:ascii="Arial" w:hAnsi="Arial" w:cs="Arial"/>
                <w:bCs/>
                <w:iCs/>
              </w:rPr>
            </w:pPr>
            <w:r>
              <w:rPr>
                <w:rFonts w:ascii="Arial" w:hAnsi="Arial" w:cs="Arial"/>
                <w:bCs/>
                <w:iCs/>
              </w:rPr>
              <w:t>(i) Be a registered Pharmacist with the Pharmaceutical Society of Ireland (PSI) or be entitled to be so registered</w:t>
            </w:r>
          </w:p>
          <w:p w14:paraId="5A8898DF" w14:textId="77777777" w:rsidR="006F6DAF" w:rsidRDefault="006F6DAF" w:rsidP="006F6DAF">
            <w:pPr>
              <w:ind w:left="720"/>
              <w:jc w:val="center"/>
              <w:rPr>
                <w:rFonts w:ascii="Arial" w:hAnsi="Arial" w:cs="Arial"/>
                <w:b/>
                <w:bCs/>
                <w:iCs/>
              </w:rPr>
            </w:pPr>
            <w:r>
              <w:rPr>
                <w:rFonts w:ascii="Arial" w:hAnsi="Arial" w:cs="Arial"/>
                <w:b/>
                <w:bCs/>
                <w:iCs/>
              </w:rPr>
              <w:t>And</w:t>
            </w:r>
          </w:p>
          <w:p w14:paraId="455D91E8" w14:textId="77777777" w:rsidR="006F6DAF" w:rsidRDefault="006F6DAF" w:rsidP="006F6DAF">
            <w:pPr>
              <w:ind w:left="720"/>
              <w:jc w:val="center"/>
              <w:rPr>
                <w:rFonts w:ascii="Arial" w:hAnsi="Arial" w:cs="Arial"/>
                <w:b/>
                <w:bCs/>
                <w:iCs/>
              </w:rPr>
            </w:pPr>
          </w:p>
          <w:p w14:paraId="31B34487" w14:textId="2F01C435" w:rsidR="006F6DAF" w:rsidRDefault="006F6DAF" w:rsidP="006F6DAF">
            <w:pPr>
              <w:ind w:left="720"/>
              <w:jc w:val="both"/>
              <w:rPr>
                <w:rFonts w:ascii="Arial" w:hAnsi="Arial" w:cs="Arial"/>
                <w:bCs/>
                <w:iCs/>
              </w:rPr>
            </w:pPr>
            <w:r>
              <w:rPr>
                <w:rFonts w:ascii="Arial" w:hAnsi="Arial" w:cs="Arial"/>
                <w:bCs/>
                <w:iCs/>
              </w:rPr>
              <w:t xml:space="preserve">(ii) Have at least three </w:t>
            </w:r>
            <w:r w:rsidR="00F32527">
              <w:rPr>
                <w:rFonts w:ascii="Arial" w:hAnsi="Arial" w:cs="Arial"/>
                <w:bCs/>
                <w:iCs/>
              </w:rPr>
              <w:t>years’</w:t>
            </w:r>
            <w:r>
              <w:rPr>
                <w:rFonts w:ascii="Arial" w:hAnsi="Arial" w:cs="Arial"/>
                <w:bCs/>
                <w:iCs/>
              </w:rPr>
              <w:t xml:space="preserve"> satisfactory post registration experience</w:t>
            </w:r>
          </w:p>
          <w:p w14:paraId="4558C150" w14:textId="77777777" w:rsidR="006F6DAF" w:rsidRDefault="006F6DAF" w:rsidP="006F6DAF">
            <w:pPr>
              <w:ind w:left="720"/>
              <w:jc w:val="both"/>
              <w:rPr>
                <w:rFonts w:ascii="Arial" w:hAnsi="Arial" w:cs="Arial"/>
                <w:bCs/>
                <w:iCs/>
              </w:rPr>
            </w:pPr>
          </w:p>
          <w:p w14:paraId="78FD04D5" w14:textId="77777777" w:rsidR="006F6DAF" w:rsidRDefault="006F6DAF" w:rsidP="006F6DAF">
            <w:pPr>
              <w:ind w:left="720"/>
              <w:jc w:val="center"/>
              <w:rPr>
                <w:rFonts w:ascii="Arial" w:hAnsi="Arial" w:cs="Arial"/>
                <w:b/>
                <w:bCs/>
                <w:iCs/>
              </w:rPr>
            </w:pPr>
            <w:r>
              <w:rPr>
                <w:rFonts w:ascii="Arial" w:hAnsi="Arial" w:cs="Arial"/>
                <w:b/>
                <w:bCs/>
                <w:iCs/>
              </w:rPr>
              <w:t>And</w:t>
            </w:r>
          </w:p>
          <w:p w14:paraId="1DAF595D" w14:textId="77777777" w:rsidR="006F6DAF" w:rsidRDefault="006F6DAF" w:rsidP="006F6DAF">
            <w:pPr>
              <w:ind w:left="720"/>
              <w:jc w:val="center"/>
              <w:rPr>
                <w:rFonts w:ascii="Arial" w:hAnsi="Arial" w:cs="Arial"/>
                <w:b/>
                <w:bCs/>
                <w:iCs/>
              </w:rPr>
            </w:pPr>
          </w:p>
          <w:p w14:paraId="6B041388" w14:textId="77777777" w:rsidR="006F6DAF" w:rsidRDefault="006F6DAF" w:rsidP="006F6DAF">
            <w:pPr>
              <w:ind w:left="720"/>
              <w:jc w:val="both"/>
              <w:rPr>
                <w:rFonts w:ascii="Arial" w:hAnsi="Arial" w:cs="Arial"/>
                <w:bCs/>
                <w:iCs/>
              </w:rPr>
            </w:pPr>
            <w:r>
              <w:rPr>
                <w:rFonts w:ascii="Arial" w:hAnsi="Arial" w:cs="Arial"/>
                <w:bCs/>
                <w:iCs/>
              </w:rPr>
              <w:t xml:space="preserve">(iii) Possess knowledge of the operation of the </w:t>
            </w:r>
            <w:r>
              <w:rPr>
                <w:rFonts w:ascii="Arial" w:hAnsi="Arial" w:cs="Arial"/>
                <w:bCs/>
                <w:iCs/>
                <w:color w:val="000000" w:themeColor="text1"/>
              </w:rPr>
              <w:t>Primary Care Reimbursement Service (PCRS) and the Medicines Management Programme (MMP)</w:t>
            </w:r>
            <w:r>
              <w:rPr>
                <w:rFonts w:ascii="Arial" w:hAnsi="Arial" w:cs="Arial"/>
                <w:bCs/>
                <w:iCs/>
              </w:rPr>
              <w:t>.</w:t>
            </w:r>
          </w:p>
          <w:p w14:paraId="166E44F1" w14:textId="77777777" w:rsidR="006F6DAF" w:rsidRDefault="006F6DAF" w:rsidP="006F6DAF">
            <w:pPr>
              <w:rPr>
                <w:rFonts w:ascii="Arial" w:hAnsi="Arial" w:cs="Arial"/>
                <w:b/>
                <w:bCs/>
                <w:iCs/>
              </w:rPr>
            </w:pPr>
          </w:p>
          <w:p w14:paraId="1F5780D5" w14:textId="77777777" w:rsidR="006F6DAF" w:rsidRDefault="006F6DAF" w:rsidP="006F6DAF">
            <w:pPr>
              <w:numPr>
                <w:ilvl w:val="0"/>
                <w:numId w:val="30"/>
              </w:numPr>
              <w:jc w:val="both"/>
              <w:rPr>
                <w:rFonts w:ascii="Arial" w:hAnsi="Arial" w:cs="Arial"/>
                <w:bCs/>
                <w:iCs/>
              </w:rPr>
            </w:pPr>
            <w:r>
              <w:rPr>
                <w:rFonts w:ascii="Arial" w:hAnsi="Arial" w:cs="Arial"/>
                <w:bCs/>
                <w:iCs/>
              </w:rPr>
              <w:t>Possess the requisite clinical knowledge and ability (including a high standard of suitability and management ability) for the proper discharge of the duties of the office.</w:t>
            </w:r>
          </w:p>
          <w:p w14:paraId="7AF63674" w14:textId="77777777" w:rsidR="006F6DAF" w:rsidRDefault="006F6DAF" w:rsidP="006F6DAF">
            <w:pPr>
              <w:jc w:val="both"/>
              <w:rPr>
                <w:rFonts w:ascii="Arial" w:hAnsi="Arial" w:cs="Arial"/>
                <w:b/>
                <w:bCs/>
                <w:i/>
                <w:iCs/>
              </w:rPr>
            </w:pPr>
          </w:p>
          <w:p w14:paraId="5294007E" w14:textId="77777777" w:rsidR="006F6DAF" w:rsidRDefault="006F6DAF" w:rsidP="006F6DAF">
            <w:pPr>
              <w:jc w:val="both"/>
              <w:rPr>
                <w:rFonts w:ascii="Arial" w:hAnsi="Arial" w:cs="Arial"/>
                <w:b/>
                <w:bCs/>
                <w:i/>
                <w:iCs/>
              </w:rPr>
            </w:pPr>
          </w:p>
          <w:p w14:paraId="12E3C176" w14:textId="77777777" w:rsidR="006F6DAF" w:rsidRDefault="006F6DAF" w:rsidP="006F6DAF">
            <w:pPr>
              <w:jc w:val="both"/>
              <w:rPr>
                <w:rFonts w:ascii="Arial" w:hAnsi="Arial" w:cs="Arial"/>
                <w:b/>
                <w:bCs/>
                <w:i/>
                <w:iCs/>
              </w:rPr>
            </w:pPr>
          </w:p>
          <w:p w14:paraId="46817D9F" w14:textId="77777777" w:rsidR="006F6DAF" w:rsidRDefault="006F6DAF" w:rsidP="006F6DAF">
            <w:pPr>
              <w:jc w:val="both"/>
              <w:rPr>
                <w:rFonts w:ascii="Arial" w:hAnsi="Arial" w:cs="Arial"/>
                <w:b/>
              </w:rPr>
            </w:pPr>
            <w:r>
              <w:rPr>
                <w:rFonts w:ascii="Arial" w:hAnsi="Arial" w:cs="Arial"/>
                <w:b/>
              </w:rPr>
              <w:t>Health</w:t>
            </w:r>
          </w:p>
          <w:p w14:paraId="70BD079D" w14:textId="77777777" w:rsidR="006F6DAF" w:rsidRDefault="006F6DAF" w:rsidP="006F6DAF">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D9FD7C" w14:textId="77777777" w:rsidR="006F6DAF" w:rsidRDefault="006F6DAF" w:rsidP="006F6DAF">
            <w:pPr>
              <w:jc w:val="both"/>
              <w:rPr>
                <w:rFonts w:ascii="Arial" w:hAnsi="Arial" w:cs="Arial"/>
              </w:rPr>
            </w:pPr>
          </w:p>
          <w:p w14:paraId="2BDE43CF" w14:textId="77777777" w:rsidR="006F6DAF" w:rsidRDefault="006F6DAF" w:rsidP="006F6DAF">
            <w:pPr>
              <w:ind w:right="-766"/>
              <w:jc w:val="both"/>
              <w:rPr>
                <w:rFonts w:ascii="Arial" w:hAnsi="Arial" w:cs="Arial"/>
                <w:iCs/>
              </w:rPr>
            </w:pPr>
            <w:r>
              <w:rPr>
                <w:rFonts w:ascii="Arial" w:hAnsi="Arial" w:cs="Arial"/>
                <w:b/>
                <w:bCs/>
              </w:rPr>
              <w:t>Character</w:t>
            </w:r>
          </w:p>
          <w:p w14:paraId="08DC13CD" w14:textId="77777777" w:rsidR="006F6DAF" w:rsidRDefault="006F6DAF" w:rsidP="006F6DAF">
            <w:pPr>
              <w:ind w:right="-766"/>
              <w:jc w:val="both"/>
              <w:rPr>
                <w:rFonts w:ascii="Arial" w:hAnsi="Arial" w:cs="Arial"/>
              </w:rPr>
            </w:pPr>
            <w:r>
              <w:rPr>
                <w:rFonts w:ascii="Arial" w:hAnsi="Arial" w:cs="Arial"/>
              </w:rPr>
              <w:t>Each candidate for and any person holding the office must be of good character.</w:t>
            </w:r>
          </w:p>
          <w:p w14:paraId="7DF04A67" w14:textId="77777777" w:rsidR="006F6DAF" w:rsidRDefault="006F6DAF" w:rsidP="006F6DAF">
            <w:pPr>
              <w:ind w:right="-766"/>
              <w:jc w:val="both"/>
              <w:rPr>
                <w:rFonts w:ascii="Arial" w:hAnsi="Arial" w:cs="Arial"/>
              </w:rPr>
            </w:pPr>
          </w:p>
          <w:p w14:paraId="066354B2" w14:textId="77777777" w:rsidR="006F6DAF" w:rsidRPr="0075255E" w:rsidRDefault="006F6DAF" w:rsidP="006F6DAF">
            <w:pPr>
              <w:autoSpaceDE w:val="0"/>
              <w:autoSpaceDN w:val="0"/>
              <w:adjustRightInd w:val="0"/>
              <w:spacing w:line="240" w:lineRule="atLeast"/>
              <w:jc w:val="both"/>
              <w:rPr>
                <w:rFonts w:ascii="Helv" w:hAnsi="Helv" w:cs="Helv"/>
              </w:rPr>
            </w:pPr>
            <w:r w:rsidRPr="0075255E">
              <w:rPr>
                <w:rFonts w:ascii="Helv" w:hAnsi="Helv" w:cs="Helv"/>
              </w:rPr>
              <w:t xml:space="preserve">Please note that appointment to and continuation in posts that require statutory registration is dependent upon the post holder maintaining annual registration in the Register of Pharmacists maintained by the Pharmaceutical Society of Ireland.  </w:t>
            </w:r>
          </w:p>
          <w:p w14:paraId="1151045D" w14:textId="77777777" w:rsidR="00792F91" w:rsidRPr="00BE491B" w:rsidRDefault="00792F91" w:rsidP="006F6DAF">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32527">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8A8EA82" w14:textId="77777777" w:rsidR="00F32527" w:rsidRPr="00BF5950" w:rsidRDefault="00F32527" w:rsidP="00F32527">
            <w:pPr>
              <w:pStyle w:val="ListParagraph"/>
              <w:numPr>
                <w:ilvl w:val="0"/>
                <w:numId w:val="31"/>
              </w:numPr>
              <w:rPr>
                <w:rFonts w:ascii="Arial" w:hAnsi="Arial" w:cs="Arial"/>
              </w:rPr>
            </w:pPr>
            <w:r w:rsidRPr="00BF5950">
              <w:rPr>
                <w:rFonts w:ascii="Arial" w:hAnsi="Arial" w:cs="Arial"/>
              </w:rPr>
              <w:t>Demonstrate experience in the safe, effective and cost-effective use of medicines as relevant to the role.</w:t>
            </w:r>
          </w:p>
          <w:p w14:paraId="1E3F5897" w14:textId="2F37D9AE" w:rsidR="00EA495D" w:rsidRPr="005B29E2" w:rsidRDefault="00EA495D" w:rsidP="006F6DAF">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1499CE1" w14:textId="5205E20C" w:rsidR="006F6DAF" w:rsidRDefault="006F6DAF" w:rsidP="006F6DAF">
            <w:pPr>
              <w:rPr>
                <w:rFonts w:ascii="Arial" w:hAnsi="Arial" w:cs="Arial"/>
              </w:rPr>
            </w:pPr>
            <w:r>
              <w:rPr>
                <w:rFonts w:ascii="Arial" w:hAnsi="Arial" w:cs="Arial"/>
              </w:rPr>
              <w:t>Access to transport is a necessary requirement of this role</w:t>
            </w:r>
          </w:p>
          <w:p w14:paraId="46BDC285" w14:textId="77777777" w:rsidR="006F6DAF" w:rsidRDefault="006F6DAF" w:rsidP="006F6DAF">
            <w:pPr>
              <w:rPr>
                <w:rFonts w:ascii="Arial" w:hAnsi="Arial" w:cs="Arial"/>
              </w:rPr>
            </w:pPr>
          </w:p>
          <w:p w14:paraId="0E4DCE48" w14:textId="16F35D29" w:rsidR="00792F91" w:rsidRPr="00F6254C" w:rsidRDefault="00792F91" w:rsidP="006F6DAF">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8C7713A"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764F9C1A" w14:textId="77777777" w:rsidR="006F6DAF" w:rsidRDefault="006F6DAF" w:rsidP="006F6DAF">
            <w:pPr>
              <w:spacing w:line="276" w:lineRule="auto"/>
              <w:rPr>
                <w:rFonts w:ascii="Arial" w:eastAsiaTheme="minorEastAsia" w:hAnsi="Arial" w:cs="Arial"/>
                <w:i/>
                <w:color w:val="000000" w:themeColor="text1"/>
                <w:lang w:val="en-US"/>
              </w:rPr>
            </w:pPr>
          </w:p>
          <w:p w14:paraId="67249012" w14:textId="2BB4E8D3" w:rsidR="006F6DAF" w:rsidRDefault="006F6DAF" w:rsidP="006F6DAF">
            <w:pPr>
              <w:numPr>
                <w:ilvl w:val="0"/>
                <w:numId w:val="31"/>
              </w:numPr>
              <w:spacing w:line="276" w:lineRule="auto"/>
              <w:ind w:left="357" w:hanging="357"/>
              <w:rPr>
                <w:rFonts w:ascii="Arial" w:hAnsi="Arial" w:cs="Arial"/>
                <w:iCs/>
                <w:color w:val="000000"/>
              </w:rPr>
            </w:pPr>
            <w:r>
              <w:rPr>
                <w:rFonts w:ascii="Arial" w:hAnsi="Arial" w:cs="Arial"/>
                <w:iCs/>
                <w:color w:val="000000"/>
              </w:rPr>
              <w:t xml:space="preserve">Understanding and/ or experience of health services and in particular pharmaceutical services. </w:t>
            </w:r>
          </w:p>
          <w:p w14:paraId="00B801D9" w14:textId="77777777" w:rsidR="006F6DAF" w:rsidRDefault="006F6DAF" w:rsidP="006F6DAF">
            <w:pPr>
              <w:numPr>
                <w:ilvl w:val="0"/>
                <w:numId w:val="31"/>
              </w:numPr>
              <w:spacing w:line="276" w:lineRule="auto"/>
              <w:ind w:left="357" w:hanging="357"/>
              <w:rPr>
                <w:rFonts w:ascii="Arial" w:hAnsi="Arial" w:cs="Arial"/>
                <w:iCs/>
                <w:color w:val="000000"/>
              </w:rPr>
            </w:pPr>
            <w:r>
              <w:rPr>
                <w:rFonts w:ascii="Arial" w:hAnsi="Arial" w:cs="Arial"/>
              </w:rPr>
              <w:t>Demonstrate sufficient clinical and professional knowledge to carry out the duties and responsibilities of the role.</w:t>
            </w:r>
          </w:p>
          <w:p w14:paraId="2E2B8640" w14:textId="77777777" w:rsidR="006F6DAF" w:rsidRDefault="006F6DAF" w:rsidP="006F6DAF">
            <w:pPr>
              <w:numPr>
                <w:ilvl w:val="0"/>
                <w:numId w:val="31"/>
              </w:numPr>
              <w:spacing w:line="276" w:lineRule="auto"/>
              <w:ind w:left="357" w:hanging="357"/>
              <w:contextualSpacing/>
              <w:rPr>
                <w:rFonts w:ascii="Arial" w:hAnsi="Arial" w:cs="Arial"/>
              </w:rPr>
            </w:pPr>
            <w:r>
              <w:rPr>
                <w:rFonts w:ascii="Arial" w:hAnsi="Arial" w:cs="Arial"/>
              </w:rPr>
              <w:t>Demonstrate the practice and skills to achieve the core competencies for pharmacists as identified by the pharmacy regulator, the Pharmaceutical Society of Ireland.</w:t>
            </w:r>
          </w:p>
          <w:p w14:paraId="56CA035E"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1EF00262"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evidence of computer skills including Microsoft Office and Outlook.</w:t>
            </w:r>
          </w:p>
          <w:p w14:paraId="7898217F" w14:textId="77777777" w:rsidR="006F6DAF" w:rsidRDefault="006F6DAF" w:rsidP="006F6DAF">
            <w:pPr>
              <w:spacing w:after="100" w:afterAutospacing="1" w:line="276" w:lineRule="auto"/>
              <w:contextualSpacing/>
              <w:rPr>
                <w:color w:val="000000" w:themeColor="text1"/>
              </w:rPr>
            </w:pPr>
          </w:p>
          <w:p w14:paraId="7F49F24E"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52E18D33" w14:textId="77777777" w:rsidR="006F6DAF" w:rsidRDefault="006F6DAF" w:rsidP="006F6DAF">
            <w:pPr>
              <w:spacing w:line="276" w:lineRule="auto"/>
              <w:rPr>
                <w:rFonts w:ascii="Arial" w:eastAsiaTheme="minorEastAsia" w:hAnsi="Arial" w:cs="Arial"/>
                <w:i/>
                <w:color w:val="000000" w:themeColor="text1"/>
                <w:lang w:val="en-US"/>
              </w:rPr>
            </w:pPr>
          </w:p>
          <w:p w14:paraId="31F2C8E7" w14:textId="77777777" w:rsidR="006F6DAF" w:rsidRDefault="006F6DAF" w:rsidP="006F6DAF">
            <w:pPr>
              <w:pStyle w:val="ListParagraph"/>
              <w:numPr>
                <w:ilvl w:val="0"/>
                <w:numId w:val="31"/>
              </w:numPr>
              <w:spacing w:line="276" w:lineRule="auto"/>
              <w:contextualSpacing/>
              <w:rPr>
                <w:rFonts w:asciiTheme="minorHAnsi" w:eastAsiaTheme="minorEastAsia" w:hAnsiTheme="minorHAnsi" w:cstheme="minorBidi"/>
              </w:rPr>
            </w:pPr>
            <w:r>
              <w:rPr>
                <w:rFonts w:ascii="Arial" w:hAnsi="Arial" w:cs="Arial"/>
              </w:rPr>
              <w:lastRenderedPageBreak/>
              <w:t xml:space="preserve">Demonstrate evidence of effective planning, organisation and management skills including awareness of resource management and importance of value for money to ensure the </w:t>
            </w:r>
            <w:r>
              <w:rPr>
                <w:rFonts w:ascii="Arial" w:eastAsia="Arial" w:hAnsi="Arial" w:cs="Arial"/>
                <w:color w:val="000000" w:themeColor="text1"/>
              </w:rPr>
              <w:t>maximum benefit for the organisation.</w:t>
            </w:r>
          </w:p>
          <w:p w14:paraId="4A12048F" w14:textId="77777777" w:rsidR="006F6DAF" w:rsidRDefault="006F6DAF" w:rsidP="006F6DAF">
            <w:pPr>
              <w:pStyle w:val="ListParagraph"/>
              <w:numPr>
                <w:ilvl w:val="0"/>
                <w:numId w:val="31"/>
              </w:numPr>
              <w:spacing w:line="276" w:lineRule="auto"/>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good time management skills; prioritises own work, delegates appropriately and adjusts priorities in response to changing circumstances.</w:t>
            </w:r>
          </w:p>
          <w:p w14:paraId="3045B618" w14:textId="77777777" w:rsidR="006F6DAF" w:rsidRDefault="006F6DAF" w:rsidP="006F6DAF">
            <w:pPr>
              <w:pStyle w:val="ListParagraph"/>
              <w:numPr>
                <w:ilvl w:val="0"/>
                <w:numId w:val="31"/>
              </w:numPr>
              <w:spacing w:line="276" w:lineRule="auto"/>
              <w:contextualSpacing/>
              <w:rPr>
                <w:color w:val="000000" w:themeColor="text1"/>
              </w:rPr>
            </w:pPr>
            <w:r>
              <w:rPr>
                <w:rFonts w:ascii="Arial" w:eastAsia="Arial" w:hAnsi="Arial" w:cs="Arial"/>
                <w:color w:val="000000" w:themeColor="text1"/>
              </w:rPr>
              <w:t>Demonstrates flexibility and adaptability in response to workforce demands.</w:t>
            </w:r>
          </w:p>
          <w:p w14:paraId="7D678FE1"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p>
          <w:p w14:paraId="0907B0CA"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0715E737" w14:textId="77777777" w:rsidR="006F6DAF" w:rsidRDefault="006F6DAF" w:rsidP="006F6DAF">
            <w:pPr>
              <w:spacing w:after="100" w:afterAutospacing="1" w:line="276" w:lineRule="auto"/>
              <w:contextualSpacing/>
              <w:rPr>
                <w:rFonts w:ascii="Arial" w:eastAsiaTheme="minorEastAsia" w:hAnsi="Arial" w:cs="Arial"/>
                <w:i/>
                <w:color w:val="000000" w:themeColor="text1"/>
                <w:lang w:val="en-US"/>
              </w:rPr>
            </w:pPr>
          </w:p>
          <w:p w14:paraId="6E53D470" w14:textId="4C4C2976"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hAnsi="Arial" w:cs="Arial"/>
              </w:rPr>
              <w:t>Demonstrates the ability to effectively lead and manage a team</w:t>
            </w:r>
            <w:r>
              <w:rPr>
                <w:rFonts w:asciiTheme="minorHAnsi" w:eastAsiaTheme="minorEastAsia" w:hAnsiTheme="minorHAnsi" w:cstheme="minorBidi"/>
                <w:color w:val="000000" w:themeColor="text1"/>
              </w:rPr>
              <w:t xml:space="preserve">, </w:t>
            </w:r>
            <w:r>
              <w:rPr>
                <w:rFonts w:ascii="Arial" w:hAnsi="Arial" w:cs="Arial"/>
              </w:rPr>
              <w:t xml:space="preserve">developing self and others in a busy working environment </w:t>
            </w:r>
          </w:p>
          <w:p w14:paraId="2109B404"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hAnsi="Arial" w:cs="Arial"/>
              </w:rPr>
              <w:t>Demonstrates the ability to work individually and in conjunction with multidisciplinary team members.</w:t>
            </w:r>
            <w:r>
              <w:rPr>
                <w:rFonts w:ascii="Arial" w:eastAsia="Arial" w:hAnsi="Arial" w:cs="Arial"/>
                <w:color w:val="000000" w:themeColor="text1"/>
              </w:rPr>
              <w:t xml:space="preserve"> </w:t>
            </w:r>
          </w:p>
          <w:p w14:paraId="0C4BC384"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51984C0F"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p>
          <w:p w14:paraId="5AAAC2A0"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3F95288" w14:textId="77777777" w:rsidR="006F6DAF" w:rsidRDefault="006F6DAF" w:rsidP="006F6DAF">
            <w:pPr>
              <w:spacing w:after="100" w:afterAutospacing="1" w:line="276" w:lineRule="auto"/>
              <w:contextualSpacing/>
              <w:rPr>
                <w:rFonts w:ascii="Arial" w:eastAsiaTheme="minorEastAsia" w:hAnsi="Arial" w:cs="Arial"/>
                <w:i/>
                <w:color w:val="000000" w:themeColor="text1"/>
                <w:lang w:val="en-US"/>
              </w:rPr>
            </w:pPr>
          </w:p>
          <w:p w14:paraId="6EE02683"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a commitment to providing a quality service; demonstrates initiative and innovation in identifying areas for service improvement and an openness to change.</w:t>
            </w:r>
          </w:p>
          <w:p w14:paraId="28325A24" w14:textId="77777777" w:rsidR="006F6DAF" w:rsidRDefault="006F6DAF" w:rsidP="006F6DAF">
            <w:pPr>
              <w:numPr>
                <w:ilvl w:val="0"/>
                <w:numId w:val="31"/>
              </w:numPr>
              <w:spacing w:after="100" w:afterAutospacing="1" w:line="276" w:lineRule="auto"/>
              <w:contextualSpacing/>
              <w:rPr>
                <w:rFonts w:asciiTheme="minorHAnsi" w:eastAsiaTheme="minorEastAsia" w:hAnsiTheme="minorHAnsi" w:cstheme="minorBidi"/>
              </w:rPr>
            </w:pPr>
            <w:r>
              <w:rPr>
                <w:rFonts w:ascii="Arial" w:hAnsi="Arial" w:cs="Arial"/>
              </w:rPr>
              <w:t>Demonstrate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2EB8D5F2" w14:textId="77777777" w:rsidR="006F6DAF" w:rsidRDefault="006F6DAF" w:rsidP="006F6DAF">
            <w:pPr>
              <w:numPr>
                <w:ilvl w:val="0"/>
                <w:numId w:val="31"/>
              </w:numPr>
              <w:spacing w:after="100" w:afterAutospacing="1" w:line="276" w:lineRule="auto"/>
              <w:contextualSpacing/>
              <w:rPr>
                <w:rFonts w:ascii="Arial" w:hAnsi="Arial" w:cs="Arial"/>
              </w:rPr>
            </w:pPr>
            <w:r>
              <w:rPr>
                <w:rFonts w:ascii="Arial" w:hAnsi="Arial" w:cs="Arial"/>
              </w:rPr>
              <w:t>Demonstrates the ability to empathise with and treat patients, relatives and colleagues with dignity and respect.</w:t>
            </w:r>
          </w:p>
          <w:p w14:paraId="03F4679B" w14:textId="77777777" w:rsidR="006F6DAF" w:rsidRDefault="006F6DAF" w:rsidP="006F6DAF">
            <w:pPr>
              <w:spacing w:after="100" w:afterAutospacing="1" w:line="276" w:lineRule="auto"/>
              <w:ind w:left="357"/>
              <w:contextualSpacing/>
              <w:rPr>
                <w:rFonts w:ascii="Arial" w:hAnsi="Arial" w:cs="Arial"/>
              </w:rPr>
            </w:pPr>
          </w:p>
          <w:p w14:paraId="52374BBF" w14:textId="77777777" w:rsidR="006F6DAF" w:rsidRDefault="006F6DAF" w:rsidP="006F6DAF">
            <w:pPr>
              <w:spacing w:line="27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E61BF32" w14:textId="77777777" w:rsidR="006F6DAF" w:rsidRDefault="006F6DAF" w:rsidP="006F6DAF">
            <w:pPr>
              <w:spacing w:line="276" w:lineRule="auto"/>
              <w:rPr>
                <w:rFonts w:ascii="Arial" w:eastAsiaTheme="minorEastAsia" w:hAnsi="Arial" w:cs="Arial"/>
                <w:i/>
                <w:color w:val="000000" w:themeColor="text1"/>
                <w:lang w:val="en-US"/>
              </w:rPr>
            </w:pPr>
          </w:p>
          <w:p w14:paraId="76F0AEB6" w14:textId="77777777" w:rsidR="006F6DAF" w:rsidRDefault="006F6DAF" w:rsidP="006F6DAF">
            <w:pPr>
              <w:pStyle w:val="ListParagraph"/>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Formulates, articulates and demonstrates sound clinical reasoning.</w:t>
            </w:r>
          </w:p>
          <w:p w14:paraId="0A6B7C40" w14:textId="77777777" w:rsidR="006F6DAF" w:rsidRDefault="006F6DAF" w:rsidP="006F6DAF">
            <w:pPr>
              <w:pStyle w:val="ListParagraph"/>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the ability to evaluate and synthesise information, solve problems and make effective decisions in relation to patient care.</w:t>
            </w:r>
            <w:r>
              <w:rPr>
                <w:rFonts w:ascii="Arial" w:hAnsi="Arial" w:cs="Arial"/>
              </w:rPr>
              <w:t xml:space="preserve"> </w:t>
            </w:r>
          </w:p>
          <w:p w14:paraId="588A47BD" w14:textId="20DF72E1" w:rsidR="006F6DAF" w:rsidRDefault="006F6DAF" w:rsidP="006F6DAF">
            <w:pPr>
              <w:pStyle w:val="ListParagraph"/>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hAnsi="Arial" w:cs="Arial"/>
              </w:rPr>
              <w:t>Adequately identify, assess, manage and monitor risk within their area of</w:t>
            </w:r>
            <w:r w:rsidR="004305FC">
              <w:rPr>
                <w:rFonts w:ascii="Arial" w:hAnsi="Arial" w:cs="Arial"/>
              </w:rPr>
              <w:t xml:space="preserve"> responsibility</w:t>
            </w:r>
          </w:p>
          <w:p w14:paraId="4BEF091B" w14:textId="77777777" w:rsidR="006F6DAF" w:rsidRDefault="006F6DAF" w:rsidP="006F6DAF">
            <w:pPr>
              <w:pStyle w:val="ListParagraph"/>
              <w:numPr>
                <w:ilvl w:val="0"/>
                <w:numId w:val="31"/>
              </w:numPr>
              <w:spacing w:after="100" w:afterAutospacing="1" w:line="276" w:lineRule="auto"/>
              <w:contextualSpacing/>
              <w:rPr>
                <w:rFonts w:asciiTheme="minorHAnsi" w:eastAsiaTheme="minorEastAsia" w:hAnsiTheme="minorHAnsi" w:cstheme="minorBidi"/>
                <w:color w:val="000000" w:themeColor="text1"/>
              </w:rPr>
            </w:pPr>
            <w:r>
              <w:rPr>
                <w:rFonts w:ascii="Arial" w:hAnsi="Arial" w:cs="Arial"/>
              </w:rPr>
              <w:t>Makes decisions in a transparent manner by involving and empowering others where appropriate.</w:t>
            </w:r>
          </w:p>
          <w:p w14:paraId="2C3D3CC8" w14:textId="77777777" w:rsidR="006F6DAF" w:rsidRDefault="006F6DAF" w:rsidP="006F6DAF">
            <w:pPr>
              <w:pStyle w:val="ListParagraph"/>
              <w:numPr>
                <w:ilvl w:val="0"/>
                <w:numId w:val="31"/>
              </w:numPr>
              <w:spacing w:after="100" w:afterAutospacing="1" w:line="276" w:lineRule="auto"/>
              <w:contextualSpacing/>
              <w:rPr>
                <w:color w:val="000000" w:themeColor="text1"/>
              </w:rPr>
            </w:pPr>
            <w:r>
              <w:rPr>
                <w:rFonts w:ascii="Arial" w:eastAsia="Arial" w:hAnsi="Arial" w:cs="Arial"/>
                <w:color w:val="000000" w:themeColor="text1"/>
              </w:rPr>
              <w:t>Regularly quantifies and evaluates activities against service plans and takes timely action to correct potential difficulties.</w:t>
            </w:r>
          </w:p>
          <w:p w14:paraId="445194AE" w14:textId="77777777" w:rsidR="006F6DAF" w:rsidRDefault="006F6DAF" w:rsidP="006F6DAF">
            <w:pPr>
              <w:spacing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8C1B0C1" w14:textId="77777777" w:rsidR="006F6DAF" w:rsidRDefault="006F6DAF" w:rsidP="006F6DAF">
            <w:pPr>
              <w:spacing w:after="100" w:afterAutospacing="1" w:line="276" w:lineRule="auto"/>
              <w:contextualSpacing/>
              <w:rPr>
                <w:rFonts w:ascii="Arial" w:eastAsiaTheme="minorEastAsia" w:hAnsi="Arial" w:cs="Arial"/>
                <w:i/>
                <w:color w:val="000000" w:themeColor="text1"/>
                <w:lang w:val="en-US"/>
              </w:rPr>
            </w:pPr>
          </w:p>
          <w:p w14:paraId="09A691EA" w14:textId="77777777" w:rsidR="006F6DAF" w:rsidRDefault="006F6DAF" w:rsidP="006F6DAF">
            <w:pPr>
              <w:numPr>
                <w:ilvl w:val="0"/>
                <w:numId w:val="31"/>
              </w:numPr>
              <w:spacing w:line="276" w:lineRule="auto"/>
              <w:contextualSpacing/>
              <w:rPr>
                <w:rFonts w:ascii="Arial" w:hAnsi="Arial" w:cs="Arial"/>
              </w:rPr>
            </w:pPr>
            <w:r>
              <w:rPr>
                <w:rFonts w:ascii="Arial" w:eastAsia="Arial" w:hAnsi="Arial" w:cs="Arial"/>
                <w:color w:val="000000" w:themeColor="text1"/>
              </w:rPr>
              <w:t>Demonstrate effective communication skills, including t</w:t>
            </w:r>
            <w:r>
              <w:rPr>
                <w:rFonts w:ascii="Arial" w:eastAsia="Arial" w:hAnsi="Arial" w:cs="Arial"/>
                <w:color w:val="000000" w:themeColor="text1"/>
                <w:lang w:val="en-US"/>
              </w:rPr>
              <w:t>he ability to present information in a clear and concise manner</w:t>
            </w:r>
            <w:r>
              <w:rPr>
                <w:rFonts w:ascii="Arial" w:hAnsi="Arial" w:cs="Arial"/>
                <w:iCs/>
                <w:color w:val="000000"/>
              </w:rPr>
              <w:t xml:space="preserve"> (verbal and in writing).</w:t>
            </w:r>
          </w:p>
          <w:p w14:paraId="56388184" w14:textId="77777777" w:rsidR="006F6DAF" w:rsidRDefault="006F6DAF" w:rsidP="006F6DAF">
            <w:pPr>
              <w:numPr>
                <w:ilvl w:val="0"/>
                <w:numId w:val="31"/>
              </w:numPr>
              <w:spacing w:after="100" w:afterAutospacing="1" w:line="276" w:lineRule="auto"/>
              <w:contextualSpacing/>
              <w:rPr>
                <w:rFonts w:ascii="Arial" w:hAnsi="Arial" w:cs="Arial"/>
              </w:rPr>
            </w:pPr>
            <w:r>
              <w:rPr>
                <w:rFonts w:ascii="Arial" w:eastAsia="Arial" w:hAnsi="Arial" w:cs="Arial"/>
                <w:color w:val="000000" w:themeColor="text1"/>
              </w:rPr>
              <w:t>Demonstrate strong interpersonal skills and the ability to interact with a wide variety of stakeholders.</w:t>
            </w:r>
          </w:p>
          <w:p w14:paraId="50CD980B" w14:textId="77777777" w:rsidR="006F6DAF" w:rsidRDefault="006F6DAF" w:rsidP="006F6DAF">
            <w:pPr>
              <w:numPr>
                <w:ilvl w:val="0"/>
                <w:numId w:val="31"/>
              </w:numPr>
              <w:spacing w:after="100" w:afterAutospacing="1" w:line="276" w:lineRule="auto"/>
              <w:contextualSpacing/>
              <w:rPr>
                <w:rFonts w:ascii="Arial" w:hAnsi="Arial" w:cs="Arial"/>
              </w:rPr>
            </w:pPr>
            <w:r>
              <w:rPr>
                <w:rFonts w:ascii="Arial" w:hAnsi="Arial" w:cs="Arial"/>
              </w:rPr>
              <w:t>Demonstrates influencing and negotiation skills to resolve conflicts and problems.</w:t>
            </w:r>
          </w:p>
          <w:p w14:paraId="49E08C15" w14:textId="370AE3B4" w:rsidR="00AC0D37" w:rsidRPr="00EA495D" w:rsidRDefault="006F6DAF" w:rsidP="004C07FA">
            <w:pPr>
              <w:numPr>
                <w:ilvl w:val="0"/>
                <w:numId w:val="31"/>
              </w:numPr>
              <w:spacing w:after="100" w:afterAutospacing="1" w:line="276" w:lineRule="auto"/>
              <w:contextualSpacing/>
              <w:rPr>
                <w:rFonts w:ascii="Arial" w:hAnsi="Arial" w:cs="Arial"/>
                <w:color w:val="000099"/>
                <w:lang w:val="en-IE" w:eastAsia="en-US"/>
              </w:rPr>
            </w:pPr>
            <w:r>
              <w:rPr>
                <w:rFonts w:ascii="Arial" w:hAnsi="Arial" w:cs="Arial"/>
              </w:rPr>
              <w:t>Listens to service users and respects their views about their health and medicines.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44ED0B76"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BF5950"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lastRenderedPageBreak/>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4"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32B9D" w:rsidRDefault="00792F91" w:rsidP="00792F91">
            <w:pPr>
              <w:rPr>
                <w:rFonts w:ascii="Arial" w:hAnsi="Arial" w:cs="Arial"/>
                <w:lang w:val="en-IE" w:eastAsia="en-US"/>
              </w:rPr>
            </w:pPr>
            <w:r w:rsidRPr="00F1442F">
              <w:rPr>
                <w:rFonts w:ascii="Arial" w:hAnsi="Arial" w:cs="Arial"/>
              </w:rPr>
              <w:t xml:space="preserve">The Health </w:t>
            </w:r>
            <w:r w:rsidRPr="00F32B9D">
              <w:rPr>
                <w:rFonts w:ascii="Arial" w:hAnsi="Arial" w:cs="Arial"/>
              </w:rPr>
              <w:t>Service Executive will run this campaign in compliance with the Code of Practice prepared by the Commission for Public Service Appointments (CPSA).</w:t>
            </w:r>
          </w:p>
          <w:p w14:paraId="763E6747" w14:textId="77777777" w:rsidR="00792F91" w:rsidRPr="00F32B9D" w:rsidRDefault="00792F91" w:rsidP="00792F91">
            <w:pPr>
              <w:rPr>
                <w:rFonts w:ascii="Arial" w:hAnsi="Arial" w:cs="Arial"/>
              </w:rPr>
            </w:pPr>
          </w:p>
          <w:p w14:paraId="530CFD04" w14:textId="5EE30451" w:rsidR="00792F91" w:rsidRPr="00F32B9D" w:rsidRDefault="00792F91" w:rsidP="00792F91">
            <w:pPr>
              <w:shd w:val="clear" w:color="auto" w:fill="FFFFFF"/>
              <w:spacing w:line="276" w:lineRule="auto"/>
              <w:rPr>
                <w:rFonts w:ascii="Arial" w:hAnsi="Arial" w:cs="Arial"/>
                <w:lang w:val="en-IE" w:eastAsia="en-IE"/>
              </w:rPr>
            </w:pPr>
            <w:r w:rsidRPr="00F32B9D">
              <w:rPr>
                <w:rFonts w:ascii="Arial" w:hAnsi="Arial" w:cs="Arial"/>
              </w:rPr>
              <w:t xml:space="preserve">The CPSA is responsible for </w:t>
            </w:r>
            <w:r w:rsidRPr="00F32B9D">
              <w:rPr>
                <w:rFonts w:ascii="Arial" w:hAnsi="Arial" w:cs="Arial"/>
                <w:lang w:eastAsia="en-IE"/>
              </w:rPr>
              <w:t xml:space="preserve">establishing the principles </w:t>
            </w:r>
            <w:r w:rsidR="00413395" w:rsidRPr="00F32B9D">
              <w:rPr>
                <w:rFonts w:ascii="Arial" w:hAnsi="Arial" w:cs="Arial"/>
                <w:lang w:eastAsia="en-IE"/>
              </w:rPr>
              <w:t>to</w:t>
            </w:r>
            <w:r w:rsidRPr="00F32B9D">
              <w:rPr>
                <w:rFonts w:ascii="Arial" w:hAnsi="Arial" w:cs="Arial"/>
                <w:lang w:eastAsia="en-IE"/>
              </w:rPr>
              <w:t xml:space="preserve"> be followed when making an appointment. These are set out in the CPSA Code of Practice. The Code outlines the standards </w:t>
            </w:r>
            <w:r w:rsidR="00413395" w:rsidRPr="00F32B9D">
              <w:rPr>
                <w:rFonts w:ascii="Arial" w:hAnsi="Arial" w:cs="Arial"/>
                <w:lang w:eastAsia="en-IE"/>
              </w:rPr>
              <w:t>to</w:t>
            </w:r>
            <w:r w:rsidRPr="00F32B9D">
              <w:rPr>
                <w:rFonts w:ascii="Arial" w:hAnsi="Arial" w:cs="Arial"/>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A9EB60F" w14:textId="2ED0212D" w:rsidR="004C07FA" w:rsidRDefault="0075255E" w:rsidP="004C07FA">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766D4B26" wp14:editId="24A1F08F">
            <wp:simplePos x="0" y="0"/>
            <wp:positionH relativeFrom="margin">
              <wp:posOffset>-733425</wp:posOffset>
            </wp:positionH>
            <wp:positionV relativeFrom="margin">
              <wp:posOffset>-483235</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7FA">
        <w:rPr>
          <w:rFonts w:ascii="Arial" w:hAnsi="Arial" w:cs="Arial"/>
          <w:b/>
        </w:rPr>
        <w:t>Pharmacist, Senior</w:t>
      </w:r>
    </w:p>
    <w:p w14:paraId="37E2A211" w14:textId="2806FACC" w:rsidR="004C07FA" w:rsidRDefault="004C07FA" w:rsidP="004C07FA">
      <w:pPr>
        <w:jc w:val="center"/>
        <w:rPr>
          <w:rFonts w:ascii="Arial" w:hAnsi="Arial" w:cs="Arial"/>
          <w:b/>
        </w:rPr>
      </w:pPr>
      <w:r>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BB55AF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C07FA">
              <w:rPr>
                <w:rFonts w:ascii="Arial" w:hAnsi="Arial" w:cs="Arial"/>
                <w:spacing w:val="-3"/>
              </w:rPr>
              <w:t xml:space="preserve">permanent </w:t>
            </w:r>
            <w:r w:rsidRPr="001E592B">
              <w:rPr>
                <w:rFonts w:ascii="Arial" w:hAnsi="Arial" w:cs="Arial"/>
                <w:spacing w:val="-3"/>
              </w:rPr>
              <w:t xml:space="preserve">and </w:t>
            </w:r>
            <w:r w:rsidRPr="004C07FA">
              <w:rPr>
                <w:rFonts w:ascii="Arial" w:hAnsi="Arial" w:cs="Arial"/>
                <w:spacing w:val="-3"/>
              </w:rPr>
              <w:t>whole time</w:t>
            </w:r>
            <w:r w:rsidR="004C07FA" w:rsidRPr="004C07FA">
              <w:rPr>
                <w:rFonts w:ascii="Arial" w:hAnsi="Arial" w:cs="Arial"/>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C6C4E" w:rsidRPr="00E766A5" w14:paraId="741EDC3B" w14:textId="77777777" w:rsidTr="00AC0D37">
        <w:tc>
          <w:tcPr>
            <w:tcW w:w="2523" w:type="dxa"/>
          </w:tcPr>
          <w:p w14:paraId="78F63A85" w14:textId="77777777" w:rsidR="005C6C4E" w:rsidRPr="008249E3" w:rsidRDefault="005C6C4E" w:rsidP="005C6C4E">
            <w:pPr>
              <w:jc w:val="both"/>
              <w:rPr>
                <w:rFonts w:ascii="Arial" w:hAnsi="Arial" w:cs="Arial"/>
                <w:b/>
                <w:bCs/>
              </w:rPr>
            </w:pPr>
            <w:r w:rsidRPr="008249E3">
              <w:rPr>
                <w:rFonts w:ascii="Arial" w:hAnsi="Arial" w:cs="Arial"/>
                <w:b/>
                <w:bCs/>
              </w:rPr>
              <w:t>Remuneration</w:t>
            </w:r>
          </w:p>
          <w:p w14:paraId="192FEA31" w14:textId="77777777" w:rsidR="005C6C4E" w:rsidRDefault="005C6C4E" w:rsidP="005C6C4E">
            <w:pPr>
              <w:rPr>
                <w:rFonts w:ascii="Arial" w:hAnsi="Arial" w:cs="Arial"/>
                <w:b/>
                <w:bCs/>
              </w:rPr>
            </w:pPr>
          </w:p>
          <w:p w14:paraId="342ECCC4" w14:textId="271A6C4B" w:rsidR="005C6C4E" w:rsidRPr="00E766A5" w:rsidRDefault="005C6C4E" w:rsidP="005C6C4E">
            <w:pPr>
              <w:jc w:val="both"/>
              <w:rPr>
                <w:rFonts w:ascii="Arial" w:hAnsi="Arial" w:cs="Arial"/>
                <w:b/>
                <w:bCs/>
              </w:rPr>
            </w:pPr>
          </w:p>
        </w:tc>
        <w:tc>
          <w:tcPr>
            <w:tcW w:w="8109" w:type="dxa"/>
          </w:tcPr>
          <w:p w14:paraId="5E38269A" w14:textId="77777777" w:rsidR="005C6C4E" w:rsidRPr="00F138B6" w:rsidRDefault="005C6C4E" w:rsidP="005C6C4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2B2DC2C1" w14:textId="77777777" w:rsidR="005C6C4E" w:rsidRPr="004E77CB" w:rsidRDefault="005C6C4E" w:rsidP="005C6C4E">
            <w:pPr>
              <w:jc w:val="both"/>
              <w:rPr>
                <w:rFonts w:ascii="Arial" w:hAnsi="Arial" w:cs="Arial"/>
              </w:rPr>
            </w:pPr>
            <w:r>
              <w:rPr>
                <w:rFonts w:ascii="Arial" w:hAnsi="Arial" w:cs="Arial"/>
              </w:rPr>
              <w:t>€74,779, €78,216, €79,316, €80,412, €</w:t>
            </w:r>
            <w:r w:rsidRPr="004E77CB">
              <w:rPr>
                <w:rFonts w:ascii="Arial" w:hAnsi="Arial" w:cs="Arial"/>
              </w:rPr>
              <w:t xml:space="preserve">80,546, </w:t>
            </w:r>
            <w:r>
              <w:rPr>
                <w:rFonts w:ascii="Arial" w:hAnsi="Arial" w:cs="Arial"/>
              </w:rPr>
              <w:t>€</w:t>
            </w:r>
            <w:r w:rsidRPr="004E77CB">
              <w:rPr>
                <w:rFonts w:ascii="Arial" w:hAnsi="Arial" w:cs="Arial"/>
              </w:rPr>
              <w:t>82,078</w:t>
            </w:r>
            <w:r>
              <w:rPr>
                <w:rFonts w:ascii="Arial" w:hAnsi="Arial" w:cs="Arial"/>
              </w:rPr>
              <w:t>, €</w:t>
            </w:r>
            <w:r w:rsidRPr="004E77CB">
              <w:rPr>
                <w:rFonts w:ascii="Arial" w:hAnsi="Arial" w:cs="Arial"/>
              </w:rPr>
              <w:t>83,765</w:t>
            </w:r>
            <w:r>
              <w:rPr>
                <w:rFonts w:ascii="Arial" w:hAnsi="Arial" w:cs="Arial"/>
              </w:rPr>
              <w:t>, €</w:t>
            </w:r>
            <w:r w:rsidRPr="004E77CB">
              <w:rPr>
                <w:rFonts w:ascii="Arial" w:hAnsi="Arial" w:cs="Arial"/>
              </w:rPr>
              <w:t>86,717</w:t>
            </w:r>
          </w:p>
          <w:p w14:paraId="159533AB" w14:textId="77777777" w:rsidR="005C6C4E" w:rsidRDefault="005C6C4E" w:rsidP="005C6C4E">
            <w:pPr>
              <w:jc w:val="both"/>
              <w:rPr>
                <w:rFonts w:ascii="Arial" w:hAnsi="Arial" w:cs="Arial"/>
              </w:rPr>
            </w:pPr>
          </w:p>
          <w:p w14:paraId="17EBDA86" w14:textId="77777777" w:rsidR="005C6C4E" w:rsidRPr="00243BB0" w:rsidRDefault="005C6C4E" w:rsidP="005C6C4E">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2724071" w14:textId="77777777" w:rsidR="005C6C4E" w:rsidRDefault="005C6C4E" w:rsidP="005C6C4E">
            <w:pPr>
              <w:tabs>
                <w:tab w:val="left" w:pos="-720"/>
                <w:tab w:val="left" w:pos="0"/>
                <w:tab w:val="left" w:pos="720"/>
              </w:tabs>
              <w:suppressAutoHyphens/>
              <w:jc w:val="both"/>
              <w:rPr>
                <w:rFonts w:ascii="Arial" w:hAnsi="Arial" w:cs="Arial"/>
                <w:spacing w:val="-3"/>
              </w:rPr>
            </w:pPr>
          </w:p>
        </w:tc>
      </w:tr>
      <w:tr w:rsidR="005C6C4E" w:rsidRPr="00E766A5" w14:paraId="3F765092" w14:textId="77777777" w:rsidTr="00AC0D37">
        <w:tc>
          <w:tcPr>
            <w:tcW w:w="2523" w:type="dxa"/>
          </w:tcPr>
          <w:p w14:paraId="0FB817B0" w14:textId="77777777" w:rsidR="005C6C4E" w:rsidRPr="00E766A5" w:rsidRDefault="005C6C4E" w:rsidP="005C6C4E">
            <w:pPr>
              <w:jc w:val="both"/>
              <w:rPr>
                <w:rFonts w:ascii="Arial" w:hAnsi="Arial" w:cs="Arial"/>
                <w:b/>
                <w:bCs/>
              </w:rPr>
            </w:pPr>
            <w:r w:rsidRPr="00E766A5">
              <w:rPr>
                <w:rFonts w:ascii="Arial" w:hAnsi="Arial" w:cs="Arial"/>
                <w:b/>
                <w:bCs/>
              </w:rPr>
              <w:t>Working Week</w:t>
            </w:r>
          </w:p>
          <w:p w14:paraId="24717DED" w14:textId="77777777" w:rsidR="005C6C4E" w:rsidRPr="00E766A5" w:rsidRDefault="005C6C4E" w:rsidP="005C6C4E">
            <w:pPr>
              <w:jc w:val="both"/>
              <w:rPr>
                <w:rFonts w:ascii="Arial" w:hAnsi="Arial" w:cs="Arial"/>
                <w:b/>
                <w:bCs/>
              </w:rPr>
            </w:pPr>
          </w:p>
        </w:tc>
        <w:tc>
          <w:tcPr>
            <w:tcW w:w="8109" w:type="dxa"/>
          </w:tcPr>
          <w:p w14:paraId="44AC9C6F" w14:textId="45631DC0" w:rsidR="005C6C4E" w:rsidRPr="00ED5846" w:rsidRDefault="005C6C4E" w:rsidP="005C6C4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5C6C4E" w:rsidRDefault="005C6C4E" w:rsidP="005C6C4E">
            <w:pPr>
              <w:pStyle w:val="paragraph"/>
              <w:spacing w:before="0" w:beforeAutospacing="0" w:after="0" w:afterAutospacing="0"/>
              <w:textAlignment w:val="baseline"/>
              <w:rPr>
                <w:rStyle w:val="eop"/>
                <w:rFonts w:ascii="Arial" w:hAnsi="Arial" w:cs="Arial"/>
                <w:sz w:val="20"/>
                <w:szCs w:val="20"/>
              </w:rPr>
            </w:pPr>
          </w:p>
          <w:p w14:paraId="165EE85A" w14:textId="145E6D1E" w:rsidR="005C6C4E" w:rsidRPr="00ED5846" w:rsidRDefault="005C6C4E" w:rsidP="005C6C4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5C6C4E" w:rsidRPr="00E766A5" w:rsidRDefault="005C6C4E" w:rsidP="005C6C4E">
            <w:pPr>
              <w:jc w:val="both"/>
              <w:rPr>
                <w:rFonts w:ascii="Arial" w:hAnsi="Arial" w:cs="Arial"/>
              </w:rPr>
            </w:pPr>
          </w:p>
        </w:tc>
      </w:tr>
      <w:tr w:rsidR="005C6C4E" w:rsidRPr="00E766A5" w14:paraId="026D2AAA" w14:textId="77777777" w:rsidTr="00AC0D37">
        <w:tc>
          <w:tcPr>
            <w:tcW w:w="2523" w:type="dxa"/>
          </w:tcPr>
          <w:p w14:paraId="38FDC52F" w14:textId="77777777" w:rsidR="005C6C4E" w:rsidRPr="00E766A5" w:rsidRDefault="005C6C4E" w:rsidP="005C6C4E">
            <w:pPr>
              <w:jc w:val="both"/>
              <w:rPr>
                <w:rFonts w:ascii="Arial" w:hAnsi="Arial" w:cs="Arial"/>
                <w:b/>
                <w:bCs/>
              </w:rPr>
            </w:pPr>
            <w:r w:rsidRPr="00E766A5">
              <w:rPr>
                <w:rFonts w:ascii="Arial" w:hAnsi="Arial" w:cs="Arial"/>
                <w:b/>
                <w:bCs/>
              </w:rPr>
              <w:t>Annual Leave</w:t>
            </w:r>
          </w:p>
        </w:tc>
        <w:tc>
          <w:tcPr>
            <w:tcW w:w="8109" w:type="dxa"/>
          </w:tcPr>
          <w:p w14:paraId="7A82753C" w14:textId="77777777" w:rsidR="005C6C4E" w:rsidRDefault="005C6C4E" w:rsidP="005C6C4E">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5C6C4E" w:rsidRPr="00E766A5" w:rsidRDefault="005C6C4E" w:rsidP="005C6C4E">
            <w:pPr>
              <w:jc w:val="both"/>
              <w:rPr>
                <w:rFonts w:ascii="Arial" w:hAnsi="Arial" w:cs="Arial"/>
              </w:rPr>
            </w:pPr>
          </w:p>
        </w:tc>
      </w:tr>
      <w:tr w:rsidR="005C6C4E" w:rsidRPr="00E766A5" w14:paraId="01F7D1BF" w14:textId="77777777" w:rsidTr="00AC0D37">
        <w:tc>
          <w:tcPr>
            <w:tcW w:w="2523" w:type="dxa"/>
          </w:tcPr>
          <w:p w14:paraId="310A674B" w14:textId="77777777" w:rsidR="005C6C4E" w:rsidRPr="00E766A5" w:rsidRDefault="005C6C4E" w:rsidP="005C6C4E">
            <w:pPr>
              <w:jc w:val="both"/>
              <w:rPr>
                <w:rFonts w:ascii="Arial" w:hAnsi="Arial" w:cs="Arial"/>
                <w:b/>
                <w:bCs/>
              </w:rPr>
            </w:pPr>
            <w:r w:rsidRPr="00E766A5">
              <w:rPr>
                <w:rFonts w:ascii="Arial" w:hAnsi="Arial" w:cs="Arial"/>
                <w:b/>
                <w:bCs/>
              </w:rPr>
              <w:t>Superannuation</w:t>
            </w:r>
          </w:p>
          <w:p w14:paraId="7729702D" w14:textId="77777777" w:rsidR="005C6C4E" w:rsidRPr="00E766A5" w:rsidRDefault="005C6C4E" w:rsidP="005C6C4E">
            <w:pPr>
              <w:jc w:val="both"/>
              <w:rPr>
                <w:rFonts w:ascii="Arial" w:hAnsi="Arial" w:cs="Arial"/>
                <w:b/>
                <w:bCs/>
              </w:rPr>
            </w:pPr>
          </w:p>
          <w:p w14:paraId="0BC16D94" w14:textId="77777777" w:rsidR="005C6C4E" w:rsidRPr="00E766A5" w:rsidRDefault="005C6C4E" w:rsidP="005C6C4E">
            <w:pPr>
              <w:jc w:val="both"/>
              <w:rPr>
                <w:rFonts w:ascii="Arial" w:hAnsi="Arial" w:cs="Arial"/>
                <w:b/>
                <w:bCs/>
              </w:rPr>
            </w:pPr>
          </w:p>
        </w:tc>
        <w:tc>
          <w:tcPr>
            <w:tcW w:w="8109" w:type="dxa"/>
          </w:tcPr>
          <w:p w14:paraId="79E7E9AD" w14:textId="77777777" w:rsidR="005C6C4E" w:rsidRDefault="005C6C4E" w:rsidP="005C6C4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5C6C4E" w:rsidRPr="00E766A5" w:rsidRDefault="005C6C4E" w:rsidP="005C6C4E">
            <w:pPr>
              <w:jc w:val="both"/>
              <w:rPr>
                <w:rFonts w:ascii="Arial" w:hAnsi="Arial" w:cs="Arial"/>
              </w:rPr>
            </w:pPr>
          </w:p>
        </w:tc>
      </w:tr>
      <w:tr w:rsidR="005C6C4E" w:rsidRPr="00E766A5" w14:paraId="565FC9D1" w14:textId="77777777" w:rsidTr="00AC0D37">
        <w:tc>
          <w:tcPr>
            <w:tcW w:w="2523" w:type="dxa"/>
          </w:tcPr>
          <w:p w14:paraId="1B364D81" w14:textId="77777777" w:rsidR="005C6C4E" w:rsidRPr="00E766A5" w:rsidRDefault="005C6C4E" w:rsidP="005C6C4E">
            <w:pPr>
              <w:jc w:val="both"/>
              <w:rPr>
                <w:rFonts w:ascii="Arial" w:hAnsi="Arial" w:cs="Arial"/>
                <w:b/>
                <w:bCs/>
              </w:rPr>
            </w:pPr>
            <w:r>
              <w:rPr>
                <w:rFonts w:ascii="Arial" w:hAnsi="Arial" w:cs="Arial"/>
                <w:b/>
                <w:bCs/>
              </w:rPr>
              <w:t>Age</w:t>
            </w:r>
          </w:p>
        </w:tc>
        <w:tc>
          <w:tcPr>
            <w:tcW w:w="8109" w:type="dxa"/>
          </w:tcPr>
          <w:p w14:paraId="0D47FB6D" w14:textId="77777777" w:rsidR="005C6C4E" w:rsidRPr="00E0768C" w:rsidRDefault="005C6C4E" w:rsidP="005C6C4E">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5C6C4E" w:rsidRPr="00E0768C" w:rsidRDefault="005C6C4E" w:rsidP="005C6C4E">
            <w:pPr>
              <w:autoSpaceDE w:val="0"/>
              <w:autoSpaceDN w:val="0"/>
              <w:adjustRightInd w:val="0"/>
              <w:rPr>
                <w:rFonts w:ascii="Arial" w:eastAsiaTheme="minorHAnsi" w:hAnsi="Arial" w:cs="Arial"/>
                <w:i/>
                <w:iCs/>
                <w:color w:val="000000"/>
                <w:lang w:val="en-IE" w:eastAsia="en-US"/>
              </w:rPr>
            </w:pPr>
          </w:p>
          <w:p w14:paraId="1AFBA01F" w14:textId="77777777" w:rsidR="005C6C4E" w:rsidRPr="00E0768C" w:rsidRDefault="005C6C4E" w:rsidP="005C6C4E">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5C6C4E" w:rsidRPr="00E0768C" w:rsidRDefault="005C6C4E" w:rsidP="005C6C4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5C6C4E" w:rsidRPr="00E0768C" w:rsidRDefault="005C6C4E" w:rsidP="005C6C4E">
            <w:pPr>
              <w:autoSpaceDE w:val="0"/>
              <w:autoSpaceDN w:val="0"/>
              <w:adjustRightInd w:val="0"/>
              <w:rPr>
                <w:rFonts w:ascii="Arial" w:eastAsiaTheme="minorHAnsi" w:hAnsi="Arial" w:cs="Arial"/>
                <w:color w:val="000000" w:themeColor="text1"/>
                <w:lang w:val="en-IE" w:eastAsia="en-US"/>
              </w:rPr>
            </w:pPr>
          </w:p>
          <w:p w14:paraId="02E0C0E4" w14:textId="77777777" w:rsidR="005C6C4E" w:rsidRDefault="005C6C4E" w:rsidP="005C6C4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5C6C4E" w:rsidRPr="00E45386" w:rsidRDefault="005C6C4E" w:rsidP="005C6C4E">
            <w:pPr>
              <w:autoSpaceDE w:val="0"/>
              <w:autoSpaceDN w:val="0"/>
              <w:adjustRightInd w:val="0"/>
              <w:rPr>
                <w:rFonts w:ascii="Helv" w:eastAsiaTheme="minorHAnsi" w:hAnsi="Helv" w:cs="Helv"/>
                <w:color w:val="000000"/>
                <w:lang w:val="en-IE" w:eastAsia="en-US"/>
              </w:rPr>
            </w:pPr>
          </w:p>
        </w:tc>
      </w:tr>
      <w:tr w:rsidR="005C6C4E" w:rsidRPr="00E0768C" w14:paraId="00A31E89" w14:textId="77777777" w:rsidTr="00AC0D37">
        <w:tc>
          <w:tcPr>
            <w:tcW w:w="2523" w:type="dxa"/>
          </w:tcPr>
          <w:p w14:paraId="33CE3509" w14:textId="77777777" w:rsidR="005C6C4E" w:rsidRPr="0070424B" w:rsidRDefault="005C6C4E" w:rsidP="005C6C4E">
            <w:pPr>
              <w:jc w:val="both"/>
              <w:rPr>
                <w:rFonts w:ascii="Arial" w:hAnsi="Arial"/>
                <w:b/>
              </w:rPr>
            </w:pPr>
            <w:r w:rsidRPr="0070424B">
              <w:rPr>
                <w:rFonts w:ascii="Arial" w:hAnsi="Arial"/>
                <w:b/>
              </w:rPr>
              <w:t>Probation</w:t>
            </w:r>
          </w:p>
        </w:tc>
        <w:tc>
          <w:tcPr>
            <w:tcW w:w="8109" w:type="dxa"/>
          </w:tcPr>
          <w:p w14:paraId="43F205C5" w14:textId="29B115FF" w:rsidR="005C6C4E" w:rsidRDefault="005C6C4E" w:rsidP="005C6C4E">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5C6C4E" w:rsidRPr="00E0768C" w:rsidRDefault="005C6C4E" w:rsidP="005C6C4E">
            <w:pPr>
              <w:jc w:val="both"/>
              <w:rPr>
                <w:rFonts w:ascii="Arial" w:hAnsi="Arial" w:cs="Arial"/>
              </w:rPr>
            </w:pPr>
          </w:p>
        </w:tc>
      </w:tr>
      <w:tr w:rsidR="005C6C4E" w:rsidRPr="00E766A5" w14:paraId="569E1840" w14:textId="77777777" w:rsidTr="001E592B">
        <w:trPr>
          <w:trHeight w:val="699"/>
        </w:trPr>
        <w:tc>
          <w:tcPr>
            <w:tcW w:w="2523" w:type="dxa"/>
          </w:tcPr>
          <w:p w14:paraId="27BE9867" w14:textId="35A6B562" w:rsidR="005C6C4E" w:rsidRPr="006B758C" w:rsidRDefault="005C6C4E" w:rsidP="005C6C4E">
            <w:pPr>
              <w:rPr>
                <w:rFonts w:ascii="Arial" w:hAnsi="Arial" w:cs="Arial"/>
                <w:b/>
                <w:bCs/>
              </w:rPr>
            </w:pPr>
            <w:r w:rsidRPr="006B758C">
              <w:rPr>
                <w:rFonts w:ascii="Arial" w:hAnsi="Arial" w:cs="Arial"/>
                <w:b/>
                <w:bCs/>
              </w:rPr>
              <w:lastRenderedPageBreak/>
              <w:t>Protection of Children Guidance and Legislation</w:t>
            </w:r>
          </w:p>
          <w:p w14:paraId="470BFBA0" w14:textId="552E50B4" w:rsidR="005C6C4E" w:rsidRPr="006B758C" w:rsidRDefault="005C6C4E" w:rsidP="005C6C4E">
            <w:pPr>
              <w:rPr>
                <w:rFonts w:ascii="Arial" w:hAnsi="Arial" w:cs="Arial"/>
                <w:b/>
                <w:bCs/>
              </w:rPr>
            </w:pPr>
          </w:p>
        </w:tc>
        <w:tc>
          <w:tcPr>
            <w:tcW w:w="8109" w:type="dxa"/>
          </w:tcPr>
          <w:p w14:paraId="1EFFF24F" w14:textId="0379BF84" w:rsidR="005C6C4E" w:rsidRPr="006B758C" w:rsidRDefault="005C6C4E" w:rsidP="005C6C4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5C6C4E" w:rsidRPr="006B758C" w:rsidRDefault="005C6C4E" w:rsidP="005C6C4E">
            <w:pPr>
              <w:rPr>
                <w:rFonts w:ascii="Arial" w:hAnsi="Arial" w:cs="Arial"/>
              </w:rPr>
            </w:pPr>
          </w:p>
          <w:p w14:paraId="74465AED" w14:textId="77777777" w:rsidR="005C6C4E" w:rsidRPr="006B758C" w:rsidRDefault="005C6C4E" w:rsidP="005C6C4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5C6C4E" w:rsidRPr="006B758C" w:rsidRDefault="005C6C4E" w:rsidP="005C6C4E">
            <w:pPr>
              <w:rPr>
                <w:rFonts w:ascii="Arial" w:hAnsi="Arial" w:cs="Arial"/>
              </w:rPr>
            </w:pPr>
          </w:p>
          <w:p w14:paraId="31C11061" w14:textId="6E8BF80C" w:rsidR="005C6C4E" w:rsidRPr="006B758C" w:rsidRDefault="005C6C4E" w:rsidP="005C6C4E">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C6C4E"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C6C4E" w:rsidRDefault="005C6C4E" w:rsidP="005C6C4E">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C6C4E" w:rsidRPr="00A02F1B" w:rsidRDefault="005C6C4E" w:rsidP="005C6C4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C6C4E" w:rsidRDefault="005C6C4E" w:rsidP="005C6C4E">
            <w:pPr>
              <w:jc w:val="both"/>
              <w:rPr>
                <w:rFonts w:ascii="Arial" w:hAnsi="Arial" w:cs="Arial"/>
              </w:rPr>
            </w:pPr>
          </w:p>
        </w:tc>
      </w:tr>
      <w:tr w:rsidR="005C6C4E"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C6C4E" w:rsidRPr="00B44E44" w:rsidRDefault="005C6C4E" w:rsidP="005C6C4E">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C6C4E" w:rsidRPr="007978A2" w:rsidRDefault="005C6C4E" w:rsidP="005C6C4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C6C4E" w:rsidRPr="007978A2" w:rsidRDefault="005C6C4E" w:rsidP="005C6C4E">
            <w:pPr>
              <w:ind w:firstLine="720"/>
              <w:jc w:val="both"/>
              <w:rPr>
                <w:rFonts w:ascii="Arial" w:hAnsi="Arial" w:cs="Arial"/>
              </w:rPr>
            </w:pPr>
          </w:p>
          <w:p w14:paraId="033501F0" w14:textId="77777777" w:rsidR="005C6C4E" w:rsidRPr="007978A2" w:rsidRDefault="005C6C4E" w:rsidP="005C6C4E">
            <w:pPr>
              <w:jc w:val="both"/>
              <w:rPr>
                <w:rFonts w:ascii="Arial" w:hAnsi="Arial" w:cs="Arial"/>
              </w:rPr>
            </w:pPr>
            <w:r w:rsidRPr="007978A2">
              <w:rPr>
                <w:rFonts w:ascii="Arial" w:hAnsi="Arial" w:cs="Arial"/>
              </w:rPr>
              <w:t>Key responsibilities include:</w:t>
            </w:r>
          </w:p>
          <w:p w14:paraId="239805B8" w14:textId="77777777" w:rsidR="005C6C4E" w:rsidRPr="00255E29" w:rsidRDefault="005C6C4E" w:rsidP="005C6C4E">
            <w:pPr>
              <w:jc w:val="both"/>
              <w:rPr>
                <w:rFonts w:ascii="Arial" w:hAnsi="Arial" w:cs="Arial"/>
                <w:highlight w:val="yellow"/>
              </w:rPr>
            </w:pPr>
          </w:p>
          <w:p w14:paraId="1A2019CC"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C6C4E" w:rsidRPr="00122305" w:rsidRDefault="005C6C4E" w:rsidP="005C6C4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C6C4E" w:rsidRPr="00122305" w:rsidRDefault="005C6C4E" w:rsidP="005C6C4E">
            <w:pPr>
              <w:jc w:val="both"/>
              <w:rPr>
                <w:rFonts w:ascii="Arial" w:hAnsi="Arial" w:cs="Arial"/>
              </w:rPr>
            </w:pPr>
          </w:p>
          <w:p w14:paraId="7AC8EEB0" w14:textId="77777777" w:rsidR="005C6C4E" w:rsidRDefault="005C6C4E" w:rsidP="005C6C4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5C6C4E" w:rsidRPr="00B44E44" w:rsidRDefault="005C6C4E" w:rsidP="005C6C4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sectPr w:rsidR="00117CD7"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6FE2" w14:textId="77777777" w:rsidR="008F7BA2" w:rsidRDefault="008F7BA2" w:rsidP="00543F98">
      <w:r>
        <w:separator/>
      </w:r>
    </w:p>
  </w:endnote>
  <w:endnote w:type="continuationSeparator" w:id="0">
    <w:p w14:paraId="2177B255" w14:textId="77777777" w:rsidR="008F7BA2" w:rsidRDefault="008F7BA2" w:rsidP="00543F98">
      <w:r>
        <w:continuationSeparator/>
      </w:r>
    </w:p>
  </w:endnote>
  <w:endnote w:type="continuationNotice" w:id="1">
    <w:p w14:paraId="30314624" w14:textId="77777777" w:rsidR="008F7BA2" w:rsidRDefault="008F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C5AAB66"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83EA" w14:textId="77777777" w:rsidR="008F7BA2" w:rsidRDefault="008F7BA2" w:rsidP="00543F98">
      <w:r>
        <w:separator/>
      </w:r>
    </w:p>
  </w:footnote>
  <w:footnote w:type="continuationSeparator" w:id="0">
    <w:p w14:paraId="44243FEB" w14:textId="77777777" w:rsidR="008F7BA2" w:rsidRDefault="008F7BA2" w:rsidP="00543F98">
      <w:r>
        <w:continuationSeparator/>
      </w:r>
    </w:p>
  </w:footnote>
  <w:footnote w:type="continuationNotice" w:id="1">
    <w:p w14:paraId="63C4395F" w14:textId="77777777" w:rsidR="008F7BA2" w:rsidRDefault="008F7BA2"/>
  </w:footnote>
  <w:footnote w:id="2">
    <w:p w14:paraId="3CAA55E3" w14:textId="15ABB160" w:rsidR="005C6C4E" w:rsidRPr="0087266C" w:rsidRDefault="005C6C4E"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5C6C4E" w:rsidRDefault="005C6C4E"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5C6C4E" w:rsidRPr="00DD13C2" w:rsidRDefault="005C6C4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38A"/>
    <w:multiLevelType w:val="hybridMultilevel"/>
    <w:tmpl w:val="FDF8DF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5330C7"/>
    <w:multiLevelType w:val="hybridMultilevel"/>
    <w:tmpl w:val="6EB45A12"/>
    <w:lvl w:ilvl="0" w:tplc="959E74E8">
      <w:numFmt w:val="bullet"/>
      <w:lvlText w:val="-"/>
      <w:lvlJc w:val="left"/>
      <w:pPr>
        <w:ind w:left="410" w:hanging="360"/>
      </w:pPr>
      <w:rPr>
        <w:rFonts w:ascii="Calibri" w:eastAsia="Calibri" w:hAnsi="Calibri" w:cs="Calibri" w:hint="default"/>
      </w:rPr>
    </w:lvl>
    <w:lvl w:ilvl="1" w:tplc="18090003">
      <w:start w:val="1"/>
      <w:numFmt w:val="bullet"/>
      <w:lvlText w:val="o"/>
      <w:lvlJc w:val="left"/>
      <w:pPr>
        <w:ind w:left="1130" w:hanging="360"/>
      </w:pPr>
      <w:rPr>
        <w:rFonts w:ascii="Courier New" w:hAnsi="Courier New" w:cs="Courier New" w:hint="default"/>
      </w:rPr>
    </w:lvl>
    <w:lvl w:ilvl="2" w:tplc="18090005">
      <w:start w:val="1"/>
      <w:numFmt w:val="bullet"/>
      <w:lvlText w:val=""/>
      <w:lvlJc w:val="left"/>
      <w:pPr>
        <w:ind w:left="1850" w:hanging="360"/>
      </w:pPr>
      <w:rPr>
        <w:rFonts w:ascii="Wingdings" w:hAnsi="Wingdings" w:hint="default"/>
      </w:rPr>
    </w:lvl>
    <w:lvl w:ilvl="3" w:tplc="18090001">
      <w:start w:val="1"/>
      <w:numFmt w:val="bullet"/>
      <w:lvlText w:val=""/>
      <w:lvlJc w:val="left"/>
      <w:pPr>
        <w:ind w:left="2570" w:hanging="360"/>
      </w:pPr>
      <w:rPr>
        <w:rFonts w:ascii="Symbol" w:hAnsi="Symbol" w:hint="default"/>
      </w:rPr>
    </w:lvl>
    <w:lvl w:ilvl="4" w:tplc="18090003">
      <w:start w:val="1"/>
      <w:numFmt w:val="bullet"/>
      <w:lvlText w:val="o"/>
      <w:lvlJc w:val="left"/>
      <w:pPr>
        <w:ind w:left="3290" w:hanging="360"/>
      </w:pPr>
      <w:rPr>
        <w:rFonts w:ascii="Courier New" w:hAnsi="Courier New" w:cs="Courier New" w:hint="default"/>
      </w:rPr>
    </w:lvl>
    <w:lvl w:ilvl="5" w:tplc="18090005">
      <w:start w:val="1"/>
      <w:numFmt w:val="bullet"/>
      <w:lvlText w:val=""/>
      <w:lvlJc w:val="left"/>
      <w:pPr>
        <w:ind w:left="4010" w:hanging="360"/>
      </w:pPr>
      <w:rPr>
        <w:rFonts w:ascii="Wingdings" w:hAnsi="Wingdings" w:hint="default"/>
      </w:rPr>
    </w:lvl>
    <w:lvl w:ilvl="6" w:tplc="18090001">
      <w:start w:val="1"/>
      <w:numFmt w:val="bullet"/>
      <w:lvlText w:val=""/>
      <w:lvlJc w:val="left"/>
      <w:pPr>
        <w:ind w:left="4730" w:hanging="360"/>
      </w:pPr>
      <w:rPr>
        <w:rFonts w:ascii="Symbol" w:hAnsi="Symbol" w:hint="default"/>
      </w:rPr>
    </w:lvl>
    <w:lvl w:ilvl="7" w:tplc="18090003">
      <w:start w:val="1"/>
      <w:numFmt w:val="bullet"/>
      <w:lvlText w:val="o"/>
      <w:lvlJc w:val="left"/>
      <w:pPr>
        <w:ind w:left="5450" w:hanging="360"/>
      </w:pPr>
      <w:rPr>
        <w:rFonts w:ascii="Courier New" w:hAnsi="Courier New" w:cs="Courier New" w:hint="default"/>
      </w:rPr>
    </w:lvl>
    <w:lvl w:ilvl="8" w:tplc="18090005">
      <w:start w:val="1"/>
      <w:numFmt w:val="bullet"/>
      <w:lvlText w:val=""/>
      <w:lvlJc w:val="left"/>
      <w:pPr>
        <w:ind w:left="617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B61F43"/>
    <w:multiLevelType w:val="multilevel"/>
    <w:tmpl w:val="EE0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2A5E6C"/>
    <w:multiLevelType w:val="hybridMultilevel"/>
    <w:tmpl w:val="D8D28A08"/>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F5512AA"/>
    <w:multiLevelType w:val="hybridMultilevel"/>
    <w:tmpl w:val="1E7E4888"/>
    <w:lvl w:ilvl="0" w:tplc="38DE180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346B0C"/>
    <w:multiLevelType w:val="hybridMultilevel"/>
    <w:tmpl w:val="1D80FE1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3B7D6505"/>
    <w:multiLevelType w:val="hybridMultilevel"/>
    <w:tmpl w:val="6DAE2E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F0D6664"/>
    <w:multiLevelType w:val="hybridMultilevel"/>
    <w:tmpl w:val="A35449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8"/>
  </w:num>
  <w:num w:numId="4">
    <w:abstractNumId w:val="28"/>
  </w:num>
  <w:num w:numId="5">
    <w:abstractNumId w:val="1"/>
  </w:num>
  <w:num w:numId="6">
    <w:abstractNumId w:val="10"/>
  </w:num>
  <w:num w:numId="7">
    <w:abstractNumId w:val="29"/>
  </w:num>
  <w:num w:numId="8">
    <w:abstractNumId w:val="31"/>
  </w:num>
  <w:num w:numId="9">
    <w:abstractNumId w:val="27"/>
  </w:num>
  <w:num w:numId="10">
    <w:abstractNumId w:val="14"/>
  </w:num>
  <w:num w:numId="11">
    <w:abstractNumId w:val="7"/>
  </w:num>
  <w:num w:numId="12">
    <w:abstractNumId w:val="26"/>
  </w:num>
  <w:num w:numId="13">
    <w:abstractNumId w:val="4"/>
  </w:num>
  <w:num w:numId="14">
    <w:abstractNumId w:val="22"/>
  </w:num>
  <w:num w:numId="15">
    <w:abstractNumId w:val="16"/>
  </w:num>
  <w:num w:numId="16">
    <w:abstractNumId w:val="2"/>
  </w:num>
  <w:num w:numId="17">
    <w:abstractNumId w:val="12"/>
  </w:num>
  <w:num w:numId="18">
    <w:abstractNumId w:val="30"/>
  </w:num>
  <w:num w:numId="19">
    <w:abstractNumId w:val="17"/>
  </w:num>
  <w:num w:numId="20">
    <w:abstractNumId w:val="24"/>
  </w:num>
  <w:num w:numId="21">
    <w:abstractNumId w:val="3"/>
  </w:num>
  <w:num w:numId="22">
    <w:abstractNumId w:val="33"/>
  </w:num>
  <w:num w:numId="23">
    <w:abstractNumId w:val="21"/>
  </w:num>
  <w:num w:numId="24">
    <w:abstractNumId w:val="11"/>
  </w:num>
  <w:num w:numId="25">
    <w:abstractNumId w:val="20"/>
  </w:num>
  <w:num w:numId="26">
    <w:abstractNumId w:val="5"/>
  </w:num>
  <w:num w:numId="27">
    <w:abstractNumId w:val="6"/>
  </w:num>
  <w:num w:numId="28">
    <w:abstractNumId w:val="23"/>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9"/>
  </w:num>
  <w:num w:numId="33">
    <w:abstractNumId w:val="0"/>
  </w:num>
  <w:num w:numId="34">
    <w:abstractNumId w:val="19"/>
  </w:num>
  <w:num w:numId="3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61D5"/>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07F"/>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D20D9"/>
    <w:rsid w:val="003E7EEE"/>
    <w:rsid w:val="003F026C"/>
    <w:rsid w:val="003F586D"/>
    <w:rsid w:val="004059F7"/>
    <w:rsid w:val="00412037"/>
    <w:rsid w:val="0041250A"/>
    <w:rsid w:val="00413395"/>
    <w:rsid w:val="0042151D"/>
    <w:rsid w:val="004305FC"/>
    <w:rsid w:val="0044373F"/>
    <w:rsid w:val="0045069B"/>
    <w:rsid w:val="00463454"/>
    <w:rsid w:val="00475884"/>
    <w:rsid w:val="00477662"/>
    <w:rsid w:val="00477AEF"/>
    <w:rsid w:val="004831DD"/>
    <w:rsid w:val="00494CA6"/>
    <w:rsid w:val="004C07FA"/>
    <w:rsid w:val="004C3CE5"/>
    <w:rsid w:val="004C78F8"/>
    <w:rsid w:val="004E77CB"/>
    <w:rsid w:val="004F2D42"/>
    <w:rsid w:val="004F2F73"/>
    <w:rsid w:val="005150A5"/>
    <w:rsid w:val="00521CFC"/>
    <w:rsid w:val="00533F85"/>
    <w:rsid w:val="00543F98"/>
    <w:rsid w:val="0054701F"/>
    <w:rsid w:val="00593D2E"/>
    <w:rsid w:val="005A38DE"/>
    <w:rsid w:val="005B29E2"/>
    <w:rsid w:val="005C40FB"/>
    <w:rsid w:val="005C6C4E"/>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DAF"/>
    <w:rsid w:val="006F6EB4"/>
    <w:rsid w:val="0070362B"/>
    <w:rsid w:val="0070424B"/>
    <w:rsid w:val="00705C73"/>
    <w:rsid w:val="007065F2"/>
    <w:rsid w:val="007119DD"/>
    <w:rsid w:val="007374B2"/>
    <w:rsid w:val="0075255E"/>
    <w:rsid w:val="0075380E"/>
    <w:rsid w:val="0077279C"/>
    <w:rsid w:val="00792875"/>
    <w:rsid w:val="00792F91"/>
    <w:rsid w:val="00795998"/>
    <w:rsid w:val="007C0E29"/>
    <w:rsid w:val="007C1BA7"/>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00F3"/>
    <w:rsid w:val="008E4C92"/>
    <w:rsid w:val="008F7BA2"/>
    <w:rsid w:val="00923525"/>
    <w:rsid w:val="009441FF"/>
    <w:rsid w:val="00944FE6"/>
    <w:rsid w:val="00955918"/>
    <w:rsid w:val="009713C6"/>
    <w:rsid w:val="009727E8"/>
    <w:rsid w:val="00986ECA"/>
    <w:rsid w:val="00997FA2"/>
    <w:rsid w:val="009B6BF8"/>
    <w:rsid w:val="009C7692"/>
    <w:rsid w:val="009D61B3"/>
    <w:rsid w:val="009E37E2"/>
    <w:rsid w:val="009E754F"/>
    <w:rsid w:val="009F3F3A"/>
    <w:rsid w:val="00A02CC7"/>
    <w:rsid w:val="00A31CE6"/>
    <w:rsid w:val="00A33245"/>
    <w:rsid w:val="00A35B00"/>
    <w:rsid w:val="00A36FE9"/>
    <w:rsid w:val="00A43F42"/>
    <w:rsid w:val="00A47428"/>
    <w:rsid w:val="00A54067"/>
    <w:rsid w:val="00A66600"/>
    <w:rsid w:val="00A847E5"/>
    <w:rsid w:val="00A8573A"/>
    <w:rsid w:val="00A85FAD"/>
    <w:rsid w:val="00AB4063"/>
    <w:rsid w:val="00AB507E"/>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BF5950"/>
    <w:rsid w:val="00C25F36"/>
    <w:rsid w:val="00C27EBA"/>
    <w:rsid w:val="00C31249"/>
    <w:rsid w:val="00C36670"/>
    <w:rsid w:val="00C438C1"/>
    <w:rsid w:val="00C45831"/>
    <w:rsid w:val="00C50AC7"/>
    <w:rsid w:val="00C57CEC"/>
    <w:rsid w:val="00C82C28"/>
    <w:rsid w:val="00CA12C1"/>
    <w:rsid w:val="00CA2519"/>
    <w:rsid w:val="00CB077C"/>
    <w:rsid w:val="00CB2C3A"/>
    <w:rsid w:val="00CC082D"/>
    <w:rsid w:val="00CC5AC2"/>
    <w:rsid w:val="00CD2A71"/>
    <w:rsid w:val="00CE3011"/>
    <w:rsid w:val="00CE499C"/>
    <w:rsid w:val="00D139DF"/>
    <w:rsid w:val="00D2797C"/>
    <w:rsid w:val="00D34192"/>
    <w:rsid w:val="00D345CA"/>
    <w:rsid w:val="00D41DB6"/>
    <w:rsid w:val="00D522E6"/>
    <w:rsid w:val="00D844B6"/>
    <w:rsid w:val="00D8490E"/>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1A28"/>
    <w:rsid w:val="00EC3C8E"/>
    <w:rsid w:val="00ED5846"/>
    <w:rsid w:val="00EE4936"/>
    <w:rsid w:val="00EF5A89"/>
    <w:rsid w:val="00F105D9"/>
    <w:rsid w:val="00F1158C"/>
    <w:rsid w:val="00F1442F"/>
    <w:rsid w:val="00F20301"/>
    <w:rsid w:val="00F20EF4"/>
    <w:rsid w:val="00F2304D"/>
    <w:rsid w:val="00F235BB"/>
    <w:rsid w:val="00F32527"/>
    <w:rsid w:val="00F32B9D"/>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6F6DA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12622761">
      <w:bodyDiv w:val="1"/>
      <w:marLeft w:val="0"/>
      <w:marRight w:val="0"/>
      <w:marTop w:val="0"/>
      <w:marBottom w:val="0"/>
      <w:divBdr>
        <w:top w:val="none" w:sz="0" w:space="0" w:color="auto"/>
        <w:left w:val="none" w:sz="0" w:space="0" w:color="auto"/>
        <w:bottom w:val="none" w:sz="0" w:space="0" w:color="auto"/>
        <w:right w:val="none" w:sz="0" w:space="0" w:color="auto"/>
      </w:divBdr>
    </w:div>
    <w:div w:id="227692517">
      <w:bodyDiv w:val="1"/>
      <w:marLeft w:val="0"/>
      <w:marRight w:val="0"/>
      <w:marTop w:val="0"/>
      <w:marBottom w:val="0"/>
      <w:divBdr>
        <w:top w:val="none" w:sz="0" w:space="0" w:color="auto"/>
        <w:left w:val="none" w:sz="0" w:space="0" w:color="auto"/>
        <w:bottom w:val="none" w:sz="0" w:space="0" w:color="auto"/>
        <w:right w:val="none" w:sz="0" w:space="0" w:color="auto"/>
      </w:divBdr>
    </w:div>
    <w:div w:id="33646727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9421571">
      <w:bodyDiv w:val="1"/>
      <w:marLeft w:val="0"/>
      <w:marRight w:val="0"/>
      <w:marTop w:val="0"/>
      <w:marBottom w:val="0"/>
      <w:divBdr>
        <w:top w:val="none" w:sz="0" w:space="0" w:color="auto"/>
        <w:left w:val="none" w:sz="0" w:space="0" w:color="auto"/>
        <w:bottom w:val="none" w:sz="0" w:space="0" w:color="auto"/>
        <w:right w:val="none" w:sz="0" w:space="0" w:color="auto"/>
      </w:divBdr>
    </w:div>
    <w:div w:id="508180000">
      <w:bodyDiv w:val="1"/>
      <w:marLeft w:val="0"/>
      <w:marRight w:val="0"/>
      <w:marTop w:val="0"/>
      <w:marBottom w:val="0"/>
      <w:divBdr>
        <w:top w:val="none" w:sz="0" w:space="0" w:color="auto"/>
        <w:left w:val="none" w:sz="0" w:space="0" w:color="auto"/>
        <w:bottom w:val="none" w:sz="0" w:space="0" w:color="auto"/>
        <w:right w:val="none" w:sz="0" w:space="0" w:color="auto"/>
      </w:divBdr>
    </w:div>
    <w:div w:id="55104446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2999670">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68074105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55789770">
      <w:bodyDiv w:val="1"/>
      <w:marLeft w:val="0"/>
      <w:marRight w:val="0"/>
      <w:marTop w:val="0"/>
      <w:marBottom w:val="0"/>
      <w:divBdr>
        <w:top w:val="none" w:sz="0" w:space="0" w:color="auto"/>
        <w:left w:val="none" w:sz="0" w:space="0" w:color="auto"/>
        <w:bottom w:val="none" w:sz="0" w:space="0" w:color="auto"/>
        <w:right w:val="none" w:sz="0" w:space="0" w:color="auto"/>
      </w:divBdr>
    </w:div>
    <w:div w:id="821315106">
      <w:bodyDiv w:val="1"/>
      <w:marLeft w:val="0"/>
      <w:marRight w:val="0"/>
      <w:marTop w:val="0"/>
      <w:marBottom w:val="0"/>
      <w:divBdr>
        <w:top w:val="none" w:sz="0" w:space="0" w:color="auto"/>
        <w:left w:val="none" w:sz="0" w:space="0" w:color="auto"/>
        <w:bottom w:val="none" w:sz="0" w:space="0" w:color="auto"/>
        <w:right w:val="none" w:sz="0" w:space="0" w:color="auto"/>
      </w:divBdr>
    </w:div>
    <w:div w:id="828981087">
      <w:bodyDiv w:val="1"/>
      <w:marLeft w:val="0"/>
      <w:marRight w:val="0"/>
      <w:marTop w:val="0"/>
      <w:marBottom w:val="0"/>
      <w:divBdr>
        <w:top w:val="none" w:sz="0" w:space="0" w:color="auto"/>
        <w:left w:val="none" w:sz="0" w:space="0" w:color="auto"/>
        <w:bottom w:val="none" w:sz="0" w:space="0" w:color="auto"/>
        <w:right w:val="none" w:sz="0" w:space="0" w:color="auto"/>
      </w:divBdr>
    </w:div>
    <w:div w:id="907957451">
      <w:bodyDiv w:val="1"/>
      <w:marLeft w:val="0"/>
      <w:marRight w:val="0"/>
      <w:marTop w:val="0"/>
      <w:marBottom w:val="0"/>
      <w:divBdr>
        <w:top w:val="none" w:sz="0" w:space="0" w:color="auto"/>
        <w:left w:val="none" w:sz="0" w:space="0" w:color="auto"/>
        <w:bottom w:val="none" w:sz="0" w:space="0" w:color="auto"/>
        <w:right w:val="none" w:sz="0" w:space="0" w:color="auto"/>
      </w:divBdr>
    </w:div>
    <w:div w:id="973438742">
      <w:bodyDiv w:val="1"/>
      <w:marLeft w:val="0"/>
      <w:marRight w:val="0"/>
      <w:marTop w:val="0"/>
      <w:marBottom w:val="0"/>
      <w:divBdr>
        <w:top w:val="none" w:sz="0" w:space="0" w:color="auto"/>
        <w:left w:val="none" w:sz="0" w:space="0" w:color="auto"/>
        <w:bottom w:val="none" w:sz="0" w:space="0" w:color="auto"/>
        <w:right w:val="none" w:sz="0" w:space="0" w:color="auto"/>
      </w:divBdr>
    </w:div>
    <w:div w:id="100533036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0857018">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13618816">
      <w:bodyDiv w:val="1"/>
      <w:marLeft w:val="0"/>
      <w:marRight w:val="0"/>
      <w:marTop w:val="0"/>
      <w:marBottom w:val="0"/>
      <w:divBdr>
        <w:top w:val="none" w:sz="0" w:space="0" w:color="auto"/>
        <w:left w:val="none" w:sz="0" w:space="0" w:color="auto"/>
        <w:bottom w:val="none" w:sz="0" w:space="0" w:color="auto"/>
        <w:right w:val="none" w:sz="0" w:space="0" w:color="auto"/>
      </w:divBdr>
    </w:div>
    <w:div w:id="1253976138">
      <w:bodyDiv w:val="1"/>
      <w:marLeft w:val="0"/>
      <w:marRight w:val="0"/>
      <w:marTop w:val="0"/>
      <w:marBottom w:val="0"/>
      <w:divBdr>
        <w:top w:val="none" w:sz="0" w:space="0" w:color="auto"/>
        <w:left w:val="none" w:sz="0" w:space="0" w:color="auto"/>
        <w:bottom w:val="none" w:sz="0" w:space="0" w:color="auto"/>
        <w:right w:val="none" w:sz="0" w:space="0" w:color="auto"/>
      </w:divBdr>
    </w:div>
    <w:div w:id="144457180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7467257">
      <w:bodyDiv w:val="1"/>
      <w:marLeft w:val="0"/>
      <w:marRight w:val="0"/>
      <w:marTop w:val="0"/>
      <w:marBottom w:val="0"/>
      <w:divBdr>
        <w:top w:val="none" w:sz="0" w:space="0" w:color="auto"/>
        <w:left w:val="none" w:sz="0" w:space="0" w:color="auto"/>
        <w:bottom w:val="none" w:sz="0" w:space="0" w:color="auto"/>
        <w:right w:val="none" w:sz="0" w:space="0" w:color="auto"/>
      </w:divBdr>
    </w:div>
    <w:div w:id="1629313608">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64447426">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29804382">
      <w:bodyDiv w:val="1"/>
      <w:marLeft w:val="0"/>
      <w:marRight w:val="0"/>
      <w:marTop w:val="0"/>
      <w:marBottom w:val="0"/>
      <w:divBdr>
        <w:top w:val="none" w:sz="0" w:space="0" w:color="auto"/>
        <w:left w:val="none" w:sz="0" w:space="0" w:color="auto"/>
        <w:bottom w:val="none" w:sz="0" w:space="0" w:color="auto"/>
        <w:right w:val="none" w:sz="0" w:space="0" w:color="auto"/>
      </w:divBdr>
    </w:div>
    <w:div w:id="195933040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james.ie/nmic/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p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ie/eng/staff/pcrs/"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1D0776-B342-4DDC-AFF9-3F81CF07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8B96C-9DB8-4DEC-9204-138D58D3A92C}">
  <ds:schemaRefs>
    <ds:schemaRef ds:uri="http://schemas.microsoft.com/sharepoint/v3/contenttype/forms"/>
  </ds:schemaRefs>
</ds:datastoreItem>
</file>

<file path=customXml/itemProps3.xml><?xml version="1.0" encoding="utf-8"?>
<ds:datastoreItem xmlns:ds="http://schemas.openxmlformats.org/officeDocument/2006/customXml" ds:itemID="{98260542-04D8-4BF5-B8D0-7292AB964BAA}">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6</cp:revision>
  <dcterms:created xsi:type="dcterms:W3CDTF">2025-06-13T11:22:00Z</dcterms:created>
  <dcterms:modified xsi:type="dcterms:W3CDTF">2025-07-10T13:54:00Z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