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33ECB46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EBCAE47" w:rsidR="00C10E8B" w:rsidRPr="0094754C" w:rsidRDefault="00FD4D7C" w:rsidP="00C10E8B">
      <w:pPr>
        <w:jc w:val="center"/>
        <w:rPr>
          <w:rFonts w:cs="Arial"/>
          <w:b/>
          <w:iCs/>
        </w:rPr>
      </w:pPr>
      <w:r w:rsidRPr="0094754C">
        <w:rPr>
          <w:rFonts w:cs="Arial"/>
          <w:b/>
          <w:iCs/>
        </w:rPr>
        <w:t>NRS15109 Senior Communications Officer, Grade VII,</w:t>
      </w:r>
    </w:p>
    <w:p w14:paraId="6776AAA3" w14:textId="743AF023" w:rsidR="0094754C" w:rsidRPr="0094754C" w:rsidRDefault="00DC3754" w:rsidP="00C10E8B">
      <w:pPr>
        <w:jc w:val="center"/>
        <w:rPr>
          <w:rFonts w:cs="Arial"/>
          <w:b/>
          <w:iCs/>
        </w:rPr>
      </w:pPr>
      <w:r>
        <w:rPr>
          <w:rFonts w:cs="Arial"/>
          <w:b/>
          <w:iCs/>
        </w:rPr>
        <w:t>w</w:t>
      </w:r>
      <w:r w:rsidR="0094754C" w:rsidRPr="0094754C">
        <w:rPr>
          <w:rFonts w:cs="Arial"/>
          <w:b/>
          <w:iCs/>
        </w:rPr>
        <w:t xml:space="preserve">ithin the Office of the National Director of Public Health, </w:t>
      </w:r>
    </w:p>
    <w:p w14:paraId="644ADADE" w14:textId="430F15D0" w:rsidR="0094754C" w:rsidRPr="0094754C" w:rsidRDefault="0094754C" w:rsidP="00C10E8B">
      <w:pPr>
        <w:jc w:val="center"/>
        <w:rPr>
          <w:rFonts w:cs="Arial"/>
          <w:b/>
          <w:iCs/>
        </w:rPr>
      </w:pPr>
      <w:r w:rsidRPr="0094754C">
        <w:rPr>
          <w:rFonts w:cs="Arial"/>
          <w:b/>
          <w:iCs/>
        </w:rPr>
        <w:t>Dr Steevens’ Hospital</w:t>
      </w:r>
      <w:r w:rsidR="00DC3754">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F3A221E" w:rsidR="00933479" w:rsidRDefault="00933479" w:rsidP="00BA093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A093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6B93D6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E37E76" w:rsidRPr="00E37E76">
        <w:rPr>
          <w:rFonts w:cs="Arial"/>
          <w:b/>
        </w:rPr>
        <w:t>Monday 8</w:t>
      </w:r>
      <w:r w:rsidR="00E37E76" w:rsidRPr="00E37E76">
        <w:rPr>
          <w:rFonts w:cs="Arial"/>
          <w:b/>
          <w:vertAlign w:val="superscript"/>
        </w:rPr>
        <w:t>th</w:t>
      </w:r>
      <w:r w:rsidR="00E37E76" w:rsidRPr="00E37E76">
        <w:rPr>
          <w:rFonts w:cs="Arial"/>
          <w:b/>
        </w:rPr>
        <w:t xml:space="preserve"> December 2025 at 12:00 Noon</w:t>
      </w:r>
      <w:r w:rsidR="00BE366C" w:rsidRPr="00E37E76">
        <w:rPr>
          <w:rFonts w:cs="Arial"/>
          <w:b/>
        </w:rPr>
        <w:t>.</w:t>
      </w:r>
      <w:r w:rsidR="00C95B23" w:rsidRPr="00E37E76">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FDFD049"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8708C" w:rsidRDefault="002807A0" w:rsidP="00176309">
      <w:pPr>
        <w:numPr>
          <w:ilvl w:val="0"/>
          <w:numId w:val="5"/>
        </w:numPr>
        <w:jc w:val="both"/>
        <w:rPr>
          <w:rFonts w:cs="Arial"/>
          <w:bCs/>
        </w:rPr>
      </w:pPr>
      <w:r w:rsidRPr="0018708C">
        <w:rPr>
          <w:rFonts w:cs="Arial"/>
          <w:bCs/>
        </w:rPr>
        <w:t>If there is an existing panel in place this may take precedence over the newly formed panel for this campaign</w:t>
      </w:r>
      <w:r w:rsidR="00CA03A6" w:rsidRPr="0018708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506F66D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1EACE5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6030D5D" w:rsidR="00897796" w:rsidRPr="00EE1267" w:rsidRDefault="00897796" w:rsidP="00897796">
      <w:pPr>
        <w:autoSpaceDE w:val="0"/>
        <w:autoSpaceDN w:val="0"/>
        <w:jc w:val="both"/>
        <w:rPr>
          <w:iCs/>
        </w:rPr>
      </w:pPr>
      <w:r w:rsidRPr="00EE1267">
        <w:rPr>
          <w:iCs/>
        </w:rPr>
        <w:t xml:space="preserve">Request must be submitted by email to </w:t>
      </w:r>
      <w:r w:rsidR="00E37E76" w:rsidRPr="00E37E76">
        <w:rPr>
          <w:rFonts w:cs="Arial"/>
        </w:rPr>
        <w:t>Paula Christie</w:t>
      </w:r>
      <w:r w:rsidRPr="00E37E76">
        <w:rPr>
          <w:rFonts w:cs="Arial"/>
          <w:iCs/>
        </w:rPr>
        <w:t xml:space="preserve"> (</w:t>
      </w:r>
      <w:hyperlink r:id="rId14" w:history="1">
        <w:r w:rsidR="00E37E76" w:rsidRPr="00D30636">
          <w:rPr>
            <w:rStyle w:val="Hyperlink"/>
            <w:rFonts w:cs="Arial"/>
            <w:iCs/>
          </w:rPr>
          <w:t>Paula.Christie@hse.ie</w:t>
        </w:r>
      </w:hyperlink>
      <w:r w:rsidRPr="00E37E76">
        <w:rPr>
          <w:rFonts w:cs="Arial"/>
          <w:iCs/>
        </w:rPr>
        <w:t xml:space="preserve">) </w:t>
      </w:r>
      <w:r w:rsidRPr="00E37E76">
        <w:rPr>
          <w:iCs/>
        </w:rPr>
        <w:t>w</w:t>
      </w:r>
      <w:r w:rsidRPr="00EE1267">
        <w:rPr>
          <w:iCs/>
        </w:rPr>
        <w:t xml:space="preserve">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C7E49CB" w14:textId="77777777" w:rsidR="00A13211" w:rsidRPr="001D213D" w:rsidRDefault="00A13211" w:rsidP="00A13211">
      <w:pPr>
        <w:pStyle w:val="TableParagraph"/>
        <w:ind w:left="0" w:right="114"/>
        <w:rPr>
          <w:rFonts w:ascii="Arial" w:hAnsi="Arial" w:cs="Arial"/>
          <w:b/>
          <w:sz w:val="20"/>
          <w:szCs w:val="20"/>
        </w:rPr>
      </w:pPr>
      <w:r w:rsidRPr="001D213D">
        <w:rPr>
          <w:rFonts w:ascii="Arial" w:hAnsi="Arial" w:cs="Arial"/>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3E1D586" w14:textId="77777777" w:rsidR="00A13211" w:rsidRPr="001D213D" w:rsidRDefault="00A13211" w:rsidP="00A13211">
      <w:pPr>
        <w:pStyle w:val="TableParagraph"/>
        <w:spacing w:before="3"/>
        <w:ind w:left="0"/>
        <w:rPr>
          <w:rFonts w:ascii="Arial" w:hAnsi="Arial" w:cs="Arial"/>
          <w:b/>
          <w:sz w:val="20"/>
          <w:szCs w:val="20"/>
        </w:rPr>
      </w:pPr>
    </w:p>
    <w:p w14:paraId="39C95B48" w14:textId="77777777" w:rsidR="00A13211" w:rsidRPr="00F735AB" w:rsidRDefault="00A13211" w:rsidP="00A13211">
      <w:pPr>
        <w:rPr>
          <w:rFonts w:cs="Arial"/>
          <w:bCs/>
          <w:iCs/>
          <w:shd w:val="clear" w:color="auto" w:fill="FFFFFF"/>
        </w:rPr>
      </w:pPr>
      <w:r w:rsidRPr="00F735AB">
        <w:rPr>
          <w:rFonts w:cs="Arial"/>
          <w:bCs/>
          <w:iCs/>
          <w:shd w:val="clear" w:color="auto" w:fill="FFFFFF"/>
        </w:rPr>
        <w:t xml:space="preserve">* View the list of </w:t>
      </w:r>
      <w:hyperlink r:id="rId19" w:history="1">
        <w:r w:rsidRPr="00F735AB">
          <w:rPr>
            <w:rStyle w:val="Hyperlink"/>
            <w:rFonts w:cs="Arial"/>
            <w:bCs/>
            <w:iCs/>
            <w:shd w:val="clear" w:color="auto" w:fill="FFFFFF"/>
          </w:rPr>
          <w:t>other statutory health agencies</w:t>
        </w:r>
      </w:hyperlink>
    </w:p>
    <w:p w14:paraId="7CBFBEAE" w14:textId="77777777" w:rsidR="00A13211" w:rsidRPr="001D213D" w:rsidRDefault="00A13211" w:rsidP="00A13211">
      <w:pPr>
        <w:pStyle w:val="TableParagraph"/>
        <w:spacing w:before="4"/>
        <w:ind w:left="0"/>
        <w:rPr>
          <w:rFonts w:ascii="Arial" w:hAnsi="Arial" w:cs="Arial"/>
          <w:b/>
          <w:sz w:val="20"/>
          <w:szCs w:val="20"/>
        </w:rPr>
      </w:pPr>
    </w:p>
    <w:p w14:paraId="63031E22" w14:textId="77777777" w:rsidR="00A13211" w:rsidRPr="001D213D" w:rsidRDefault="00A13211" w:rsidP="00A13211">
      <w:pPr>
        <w:pStyle w:val="TableParagraph"/>
        <w:numPr>
          <w:ilvl w:val="1"/>
          <w:numId w:val="28"/>
        </w:numPr>
        <w:tabs>
          <w:tab w:val="left" w:pos="833"/>
        </w:tabs>
        <w:spacing w:before="1"/>
        <w:ind w:hanging="361"/>
        <w:rPr>
          <w:rFonts w:ascii="Arial" w:hAnsi="Arial" w:cs="Arial"/>
          <w:sz w:val="20"/>
          <w:szCs w:val="20"/>
        </w:rPr>
      </w:pPr>
      <w:r w:rsidRPr="001D213D">
        <w:rPr>
          <w:rFonts w:ascii="Arial" w:hAnsi="Arial" w:cs="Arial"/>
          <w:sz w:val="20"/>
          <w:szCs w:val="20"/>
        </w:rPr>
        <w:t>Eligible applicants will be those who on the closing date for the</w:t>
      </w:r>
      <w:r w:rsidRPr="001D213D">
        <w:rPr>
          <w:rFonts w:ascii="Arial" w:hAnsi="Arial" w:cs="Arial"/>
          <w:spacing w:val="-36"/>
          <w:sz w:val="20"/>
          <w:szCs w:val="20"/>
        </w:rPr>
        <w:t xml:space="preserve"> </w:t>
      </w:r>
      <w:r w:rsidRPr="001D213D">
        <w:rPr>
          <w:rFonts w:ascii="Arial" w:hAnsi="Arial" w:cs="Arial"/>
          <w:sz w:val="20"/>
          <w:szCs w:val="20"/>
        </w:rPr>
        <w:t>competition:</w:t>
      </w:r>
    </w:p>
    <w:p w14:paraId="09A7E130" w14:textId="77777777" w:rsidR="00A13211" w:rsidRPr="001D213D" w:rsidRDefault="00A13211" w:rsidP="00A13211">
      <w:pPr>
        <w:pStyle w:val="TableParagraph"/>
        <w:spacing w:before="9"/>
        <w:ind w:left="0"/>
        <w:rPr>
          <w:rFonts w:ascii="Arial" w:hAnsi="Arial" w:cs="Arial"/>
          <w:b/>
          <w:sz w:val="20"/>
          <w:szCs w:val="20"/>
        </w:rPr>
      </w:pPr>
    </w:p>
    <w:p w14:paraId="087691F5" w14:textId="77777777" w:rsidR="00A13211" w:rsidRPr="001D213D" w:rsidRDefault="00A13211" w:rsidP="00A13211">
      <w:pPr>
        <w:pStyle w:val="TableParagraph"/>
        <w:ind w:left="1151"/>
        <w:rPr>
          <w:rFonts w:ascii="Arial" w:hAnsi="Arial" w:cs="Arial"/>
          <w:sz w:val="20"/>
          <w:szCs w:val="20"/>
        </w:rPr>
      </w:pPr>
      <w:r w:rsidRPr="001D213D">
        <w:rPr>
          <w:rFonts w:ascii="Arial" w:hAnsi="Arial" w:cs="Arial"/>
          <w:sz w:val="20"/>
          <w:szCs w:val="20"/>
        </w:rPr>
        <w:t>Have satisfactory experience in an office under the HSE, TUSLA, other statutory health agencies, or a body which provides services on behalf of the HSE under Section 38 of the Health Act 2004 at a level not lower than that of Grade IV (or equivalent)</w:t>
      </w:r>
    </w:p>
    <w:p w14:paraId="47CA1B3A" w14:textId="77777777" w:rsidR="00A13211" w:rsidRPr="001D213D" w:rsidRDefault="00A13211" w:rsidP="00A13211">
      <w:pPr>
        <w:pStyle w:val="TableParagraph"/>
        <w:spacing w:before="11"/>
        <w:ind w:left="0"/>
        <w:rPr>
          <w:rFonts w:ascii="Arial" w:hAnsi="Arial" w:cs="Arial"/>
          <w:b/>
          <w:sz w:val="20"/>
          <w:szCs w:val="20"/>
        </w:rPr>
      </w:pPr>
    </w:p>
    <w:p w14:paraId="2F8354E4" w14:textId="77777777" w:rsidR="00A13211" w:rsidRPr="001D213D" w:rsidRDefault="00A13211" w:rsidP="00A13211">
      <w:pPr>
        <w:pStyle w:val="TableParagraph"/>
        <w:spacing w:before="1"/>
        <w:ind w:left="3302"/>
        <w:rPr>
          <w:rFonts w:ascii="Arial" w:hAnsi="Arial" w:cs="Arial"/>
          <w:sz w:val="20"/>
          <w:szCs w:val="20"/>
        </w:rPr>
      </w:pPr>
      <w:r w:rsidRPr="001D213D">
        <w:rPr>
          <w:rFonts w:ascii="Arial" w:hAnsi="Arial" w:cs="Arial"/>
          <w:sz w:val="20"/>
          <w:szCs w:val="20"/>
        </w:rPr>
        <w:t>And</w:t>
      </w:r>
    </w:p>
    <w:p w14:paraId="5C5C79FB" w14:textId="77777777" w:rsidR="00A13211" w:rsidRPr="001D213D" w:rsidRDefault="00A13211" w:rsidP="00A13211">
      <w:pPr>
        <w:pStyle w:val="TableParagraph"/>
        <w:spacing w:before="8"/>
        <w:ind w:left="0"/>
        <w:rPr>
          <w:rFonts w:ascii="Arial" w:hAnsi="Arial" w:cs="Arial"/>
          <w:b/>
          <w:sz w:val="20"/>
          <w:szCs w:val="20"/>
        </w:rPr>
      </w:pPr>
    </w:p>
    <w:p w14:paraId="62C07324" w14:textId="77777777" w:rsidR="00A13211" w:rsidRPr="001D213D" w:rsidRDefault="00A13211" w:rsidP="00A13211">
      <w:pPr>
        <w:pStyle w:val="TableParagraph"/>
        <w:ind w:left="1151"/>
        <w:rPr>
          <w:rFonts w:ascii="Arial" w:hAnsi="Arial" w:cs="Arial"/>
          <w:sz w:val="20"/>
          <w:szCs w:val="20"/>
        </w:rPr>
      </w:pPr>
      <w:r w:rsidRPr="001D213D">
        <w:rPr>
          <w:rFonts w:ascii="Arial" w:hAnsi="Arial" w:cs="Arial"/>
          <w:sz w:val="20"/>
          <w:szCs w:val="20"/>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0C0E0792" w14:textId="77777777" w:rsidR="00A13211" w:rsidRPr="001D213D" w:rsidRDefault="00A13211" w:rsidP="00A13211">
      <w:pPr>
        <w:pStyle w:val="TableParagraph"/>
        <w:spacing w:before="82"/>
        <w:ind w:left="3304"/>
        <w:rPr>
          <w:rFonts w:ascii="Arial" w:hAnsi="Arial" w:cs="Arial"/>
          <w:sz w:val="20"/>
          <w:szCs w:val="20"/>
        </w:rPr>
      </w:pPr>
      <w:r w:rsidRPr="001D213D">
        <w:rPr>
          <w:rFonts w:ascii="Arial" w:hAnsi="Arial" w:cs="Arial"/>
          <w:sz w:val="20"/>
          <w:szCs w:val="20"/>
        </w:rPr>
        <w:t>and</w:t>
      </w:r>
    </w:p>
    <w:p w14:paraId="11451733" w14:textId="77777777" w:rsidR="00A13211" w:rsidRPr="001D213D" w:rsidRDefault="00A13211" w:rsidP="00A13211">
      <w:pPr>
        <w:pStyle w:val="TableParagraph"/>
        <w:spacing w:before="9"/>
        <w:ind w:left="0"/>
        <w:rPr>
          <w:rFonts w:ascii="Arial" w:hAnsi="Arial" w:cs="Arial"/>
          <w:b/>
          <w:sz w:val="20"/>
          <w:szCs w:val="20"/>
        </w:rPr>
      </w:pPr>
    </w:p>
    <w:p w14:paraId="2297CAFB" w14:textId="77777777" w:rsidR="00A13211" w:rsidRPr="00F735AB" w:rsidRDefault="00A13211" w:rsidP="00A13211">
      <w:pPr>
        <w:pStyle w:val="ListParagraph"/>
        <w:numPr>
          <w:ilvl w:val="1"/>
          <w:numId w:val="28"/>
        </w:numPr>
        <w:contextualSpacing w:val="0"/>
        <w:rPr>
          <w:rFonts w:ascii="Arial" w:hAnsi="Arial" w:cs="Arial"/>
        </w:rPr>
      </w:pPr>
      <w:r w:rsidRPr="00F735AB">
        <w:rPr>
          <w:rFonts w:ascii="Arial" w:hAnsi="Arial" w:cs="Arial"/>
        </w:rPr>
        <w:t>Candidates must possess the requisite knowledge and ability, including a high standard of suitability, for the proper discharge of the office.</w:t>
      </w:r>
    </w:p>
    <w:p w14:paraId="3452D5A7" w14:textId="77777777" w:rsidR="00A13211" w:rsidRPr="001D213D" w:rsidRDefault="00A13211" w:rsidP="00A13211">
      <w:pPr>
        <w:rPr>
          <w:rFonts w:cs="Arial"/>
        </w:rPr>
      </w:pPr>
    </w:p>
    <w:p w14:paraId="68DB32AB" w14:textId="77777777" w:rsidR="00A13211" w:rsidRPr="001D213D" w:rsidRDefault="00A13211" w:rsidP="00A13211">
      <w:pPr>
        <w:pStyle w:val="TableParagraph"/>
        <w:spacing w:before="177"/>
        <w:ind w:left="0"/>
        <w:rPr>
          <w:rFonts w:ascii="Arial" w:hAnsi="Arial" w:cs="Arial"/>
          <w:b/>
          <w:sz w:val="20"/>
          <w:szCs w:val="20"/>
        </w:rPr>
      </w:pPr>
      <w:r w:rsidRPr="001D213D">
        <w:rPr>
          <w:rFonts w:ascii="Arial" w:hAnsi="Arial" w:cs="Arial"/>
          <w:b/>
          <w:sz w:val="20"/>
          <w:szCs w:val="20"/>
        </w:rPr>
        <w:t>Health</w:t>
      </w:r>
    </w:p>
    <w:p w14:paraId="3C33C381" w14:textId="77777777" w:rsidR="00A13211" w:rsidRPr="001D213D" w:rsidRDefault="00A13211" w:rsidP="00A13211">
      <w:pPr>
        <w:pStyle w:val="TableParagraph"/>
        <w:spacing w:before="1"/>
        <w:ind w:left="0" w:right="110"/>
        <w:jc w:val="both"/>
        <w:rPr>
          <w:rFonts w:ascii="Arial" w:hAnsi="Arial" w:cs="Arial"/>
          <w:sz w:val="20"/>
          <w:szCs w:val="20"/>
        </w:rPr>
      </w:pPr>
      <w:r w:rsidRPr="001D213D">
        <w:rPr>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28E00F98" w14:textId="77777777" w:rsidR="00A13211" w:rsidRPr="001D213D" w:rsidRDefault="00A13211" w:rsidP="00A13211">
      <w:pPr>
        <w:pStyle w:val="TableParagraph"/>
        <w:ind w:left="0"/>
        <w:rPr>
          <w:rFonts w:ascii="Arial" w:hAnsi="Arial" w:cs="Arial"/>
          <w:b/>
          <w:sz w:val="20"/>
          <w:szCs w:val="20"/>
        </w:rPr>
      </w:pPr>
    </w:p>
    <w:p w14:paraId="36C30AFE" w14:textId="77777777" w:rsidR="00A13211" w:rsidRPr="001D213D" w:rsidRDefault="00A13211" w:rsidP="00A13211">
      <w:pPr>
        <w:pStyle w:val="TableParagraph"/>
        <w:ind w:left="0"/>
        <w:rPr>
          <w:rFonts w:ascii="Arial" w:hAnsi="Arial" w:cs="Arial"/>
          <w:b/>
          <w:sz w:val="20"/>
          <w:szCs w:val="20"/>
        </w:rPr>
      </w:pPr>
      <w:r w:rsidRPr="001D213D">
        <w:rPr>
          <w:rFonts w:ascii="Arial" w:hAnsi="Arial" w:cs="Arial"/>
          <w:b/>
          <w:sz w:val="20"/>
          <w:szCs w:val="20"/>
        </w:rPr>
        <w:t>Character</w:t>
      </w:r>
    </w:p>
    <w:p w14:paraId="738984C4" w14:textId="77777777" w:rsidR="00A13211" w:rsidRPr="001D213D" w:rsidRDefault="00A13211" w:rsidP="00A13211">
      <w:pPr>
        <w:pStyle w:val="TableParagraph"/>
        <w:spacing w:before="1"/>
        <w:ind w:left="0"/>
        <w:rPr>
          <w:rFonts w:ascii="Arial" w:hAnsi="Arial" w:cs="Arial"/>
          <w:sz w:val="20"/>
          <w:szCs w:val="20"/>
        </w:rPr>
      </w:pPr>
      <w:r w:rsidRPr="001D213D">
        <w:rPr>
          <w:rFonts w:ascii="Arial" w:hAnsi="Arial" w:cs="Arial"/>
          <w:sz w:val="20"/>
          <w:szCs w:val="20"/>
        </w:rPr>
        <w:t>Each candidate for and any person holding the office must be of good character.</w:t>
      </w:r>
    </w:p>
    <w:p w14:paraId="6826A4A6" w14:textId="6D91059F" w:rsidR="00F46E24" w:rsidRDefault="00F46E24" w:rsidP="006B269C">
      <w:pPr>
        <w:rPr>
          <w:rFonts w:cs="Arial"/>
          <w:b/>
          <w:bCs/>
          <w:iCs/>
          <w:color w:val="FF0000"/>
        </w:rPr>
      </w:pPr>
    </w:p>
    <w:p w14:paraId="6F91965A" w14:textId="7B9480CD" w:rsidR="00A13211" w:rsidRPr="00A13211" w:rsidRDefault="00A13211" w:rsidP="006B269C">
      <w:pPr>
        <w:rPr>
          <w:rFonts w:cs="Arial"/>
          <w:b/>
          <w:bCs/>
          <w:iCs/>
        </w:rPr>
      </w:pPr>
      <w:r w:rsidRPr="00A13211">
        <w:rPr>
          <w:rFonts w:cs="Arial"/>
          <w:b/>
          <w:bCs/>
          <w:iCs/>
        </w:rPr>
        <w:t>Post Specific Requirements</w:t>
      </w:r>
    </w:p>
    <w:p w14:paraId="2D875B68" w14:textId="77777777" w:rsidR="00F46E24" w:rsidRDefault="00F46E24" w:rsidP="006B269C">
      <w:pPr>
        <w:rPr>
          <w:rFonts w:cs="Arial"/>
          <w:b/>
          <w:bCs/>
          <w:iCs/>
          <w:color w:val="FF0000"/>
        </w:rPr>
      </w:pPr>
    </w:p>
    <w:p w14:paraId="51DCF122" w14:textId="77777777" w:rsidR="00A13211" w:rsidRPr="00E66C8D" w:rsidRDefault="00A13211" w:rsidP="00A13211">
      <w:pPr>
        <w:numPr>
          <w:ilvl w:val="0"/>
          <w:numId w:val="29"/>
        </w:numPr>
        <w:jc w:val="both"/>
        <w:rPr>
          <w:rFonts w:cs="Arial"/>
          <w:iCs/>
          <w:lang w:eastAsia="en-US"/>
        </w:rPr>
      </w:pPr>
      <w:r w:rsidRPr="00A562E4">
        <w:rPr>
          <w:rFonts w:cs="Arial"/>
        </w:rPr>
        <w:t>Significant experience of managing multiple concurrent projects of work, including designing and delivering integrated communications strategies which has involved dealing with senior management and other key internal and external stakeholders, in the delivery of a quality service.</w:t>
      </w:r>
    </w:p>
    <w:p w14:paraId="241B771A" w14:textId="77777777" w:rsidR="00A13211" w:rsidRPr="00A562E4" w:rsidRDefault="00A13211" w:rsidP="00A13211">
      <w:pPr>
        <w:ind w:left="832"/>
        <w:jc w:val="both"/>
        <w:rPr>
          <w:rFonts w:cs="Arial"/>
          <w:iCs/>
          <w:lang w:eastAsia="en-US"/>
        </w:rPr>
      </w:pPr>
    </w:p>
    <w:p w14:paraId="4CB4DA70" w14:textId="77777777" w:rsidR="00A13211" w:rsidRDefault="00A13211" w:rsidP="00A13211">
      <w:pPr>
        <w:pStyle w:val="ListParagraph"/>
        <w:numPr>
          <w:ilvl w:val="0"/>
          <w:numId w:val="29"/>
        </w:numPr>
        <w:contextualSpacing w:val="0"/>
        <w:jc w:val="both"/>
        <w:rPr>
          <w:rFonts w:ascii="Arial" w:hAnsi="Arial" w:cs="Arial"/>
          <w:iCs/>
          <w:lang w:val="en-US"/>
        </w:rPr>
      </w:pPr>
      <w:r w:rsidRPr="00A562E4">
        <w:rPr>
          <w:rFonts w:ascii="Arial" w:hAnsi="Arial" w:cs="Arial"/>
          <w:iCs/>
          <w:lang w:val="en-US"/>
        </w:rPr>
        <w:t>Experience in internal and external communications, including staff engagement, messaging strategies, parliamentary affairs, digital channel management, press queries, public information materials, draft statements to support senior spoke</w:t>
      </w:r>
      <w:r>
        <w:rPr>
          <w:rFonts w:ascii="Arial" w:hAnsi="Arial" w:cs="Arial"/>
          <w:iCs/>
          <w:lang w:val="en-US"/>
        </w:rPr>
        <w:t>spersons and campaign management.</w:t>
      </w:r>
    </w:p>
    <w:p w14:paraId="512CEB27" w14:textId="77777777" w:rsidR="00A13211" w:rsidRPr="00E66C8D" w:rsidRDefault="00A13211" w:rsidP="00A13211">
      <w:pPr>
        <w:jc w:val="both"/>
        <w:rPr>
          <w:rFonts w:cs="Arial"/>
          <w:iCs/>
          <w:lang w:val="en-US" w:eastAsia="en-US"/>
        </w:rPr>
      </w:pPr>
    </w:p>
    <w:p w14:paraId="434629A9" w14:textId="77777777" w:rsidR="00A13211" w:rsidRDefault="00A13211" w:rsidP="00A13211">
      <w:pPr>
        <w:numPr>
          <w:ilvl w:val="0"/>
          <w:numId w:val="29"/>
        </w:numPr>
        <w:jc w:val="both"/>
        <w:rPr>
          <w:rFonts w:cs="Arial"/>
          <w:iCs/>
          <w:lang w:val="en-US" w:eastAsia="en-US"/>
        </w:rPr>
      </w:pPr>
      <w:r w:rsidRPr="00A562E4">
        <w:rPr>
          <w:rFonts w:cs="Arial"/>
          <w:iCs/>
          <w:lang w:val="en-US" w:eastAsia="en-US"/>
        </w:rPr>
        <w:t>Strong track record in social media management across multiple platforms, including content creation, publishing, and analytics.</w:t>
      </w:r>
    </w:p>
    <w:p w14:paraId="75B900D9" w14:textId="77777777" w:rsidR="00A13211" w:rsidRPr="00A562E4" w:rsidRDefault="00A13211" w:rsidP="00A13211">
      <w:pPr>
        <w:jc w:val="both"/>
        <w:rPr>
          <w:rFonts w:cs="Arial"/>
          <w:iCs/>
          <w:lang w:val="en-US" w:eastAsia="en-US"/>
        </w:rPr>
      </w:pPr>
    </w:p>
    <w:p w14:paraId="55627779" w14:textId="77777777" w:rsidR="00A13211" w:rsidRPr="00A562E4" w:rsidRDefault="00A13211" w:rsidP="00A13211">
      <w:pPr>
        <w:numPr>
          <w:ilvl w:val="0"/>
          <w:numId w:val="29"/>
        </w:numPr>
        <w:jc w:val="both"/>
        <w:rPr>
          <w:rFonts w:cs="Arial"/>
          <w:iCs/>
          <w:lang w:val="en-US" w:eastAsia="en-US"/>
        </w:rPr>
      </w:pPr>
      <w:r w:rsidRPr="00A562E4">
        <w:rPr>
          <w:rFonts w:cs="Arial"/>
          <w:iCs/>
          <w:lang w:val="en-US" w:eastAsia="en-US"/>
        </w:rPr>
        <w:t>Strong writing, editing, and visual communication skills tailored to various audiences and formats.</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56706AD" w14:textId="6B877782"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1321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A1321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1321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1321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1321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17FDC1D"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A5E64F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A0931">
      <w:rPr>
        <w:rFonts w:ascii="Arial" w:hAnsi="Arial" w:cs="Arial"/>
        <w:iCs/>
        <w:sz w:val="20"/>
        <w:lang w:eastAsia="en-GB"/>
      </w:rPr>
      <w:t>RS15109 Senior Communications Officer,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C3754">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17B0"/>
    <w:multiLevelType w:val="hybridMultilevel"/>
    <w:tmpl w:val="D80619EC"/>
    <w:lvl w:ilvl="0" w:tplc="9A8A276E">
      <w:numFmt w:val="bullet"/>
      <w:lvlText w:val="*"/>
      <w:lvlJc w:val="left"/>
      <w:pPr>
        <w:ind w:left="244" w:hanging="132"/>
      </w:pPr>
      <w:rPr>
        <w:rFonts w:ascii="Arial" w:eastAsia="Arial" w:hAnsi="Arial" w:cs="Arial" w:hint="default"/>
        <w:w w:val="96"/>
        <w:sz w:val="20"/>
        <w:szCs w:val="20"/>
        <w:lang w:val="en-US" w:eastAsia="en-US" w:bidi="en-US"/>
      </w:rPr>
    </w:lvl>
    <w:lvl w:ilvl="1" w:tplc="F6D04702">
      <w:start w:val="1"/>
      <w:numFmt w:val="lowerLetter"/>
      <w:lvlText w:val="(%2)"/>
      <w:lvlJc w:val="left"/>
      <w:pPr>
        <w:ind w:left="832" w:hanging="360"/>
      </w:pPr>
      <w:rPr>
        <w:rFonts w:ascii="Arial" w:eastAsia="Arial" w:hAnsi="Arial" w:cs="Arial" w:hint="default"/>
        <w:spacing w:val="-1"/>
        <w:w w:val="100"/>
        <w:sz w:val="22"/>
        <w:szCs w:val="22"/>
        <w:lang w:val="en-US" w:eastAsia="en-US" w:bidi="en-US"/>
      </w:rPr>
    </w:lvl>
    <w:lvl w:ilvl="2" w:tplc="65D046E2">
      <w:numFmt w:val="bullet"/>
      <w:lvlText w:val="•"/>
      <w:lvlJc w:val="left"/>
      <w:pPr>
        <w:ind w:left="1665" w:hanging="360"/>
      </w:pPr>
      <w:rPr>
        <w:rFonts w:hint="default"/>
        <w:lang w:val="en-US" w:eastAsia="en-US" w:bidi="en-US"/>
      </w:rPr>
    </w:lvl>
    <w:lvl w:ilvl="3" w:tplc="C5E6AAFE">
      <w:numFmt w:val="bullet"/>
      <w:lvlText w:val="•"/>
      <w:lvlJc w:val="left"/>
      <w:pPr>
        <w:ind w:left="2491" w:hanging="360"/>
      </w:pPr>
      <w:rPr>
        <w:rFonts w:hint="default"/>
        <w:lang w:val="en-US" w:eastAsia="en-US" w:bidi="en-US"/>
      </w:rPr>
    </w:lvl>
    <w:lvl w:ilvl="4" w:tplc="75CA67D6">
      <w:numFmt w:val="bullet"/>
      <w:lvlText w:val="•"/>
      <w:lvlJc w:val="left"/>
      <w:pPr>
        <w:ind w:left="3317" w:hanging="360"/>
      </w:pPr>
      <w:rPr>
        <w:rFonts w:hint="default"/>
        <w:lang w:val="en-US" w:eastAsia="en-US" w:bidi="en-US"/>
      </w:rPr>
    </w:lvl>
    <w:lvl w:ilvl="5" w:tplc="1CFA0E86">
      <w:numFmt w:val="bullet"/>
      <w:lvlText w:val="•"/>
      <w:lvlJc w:val="left"/>
      <w:pPr>
        <w:ind w:left="4143" w:hanging="360"/>
      </w:pPr>
      <w:rPr>
        <w:rFonts w:hint="default"/>
        <w:lang w:val="en-US" w:eastAsia="en-US" w:bidi="en-US"/>
      </w:rPr>
    </w:lvl>
    <w:lvl w:ilvl="6" w:tplc="74C664B6">
      <w:numFmt w:val="bullet"/>
      <w:lvlText w:val="•"/>
      <w:lvlJc w:val="left"/>
      <w:pPr>
        <w:ind w:left="4968" w:hanging="360"/>
      </w:pPr>
      <w:rPr>
        <w:rFonts w:hint="default"/>
        <w:lang w:val="en-US" w:eastAsia="en-US" w:bidi="en-US"/>
      </w:rPr>
    </w:lvl>
    <w:lvl w:ilvl="7" w:tplc="161A45EE">
      <w:numFmt w:val="bullet"/>
      <w:lvlText w:val="•"/>
      <w:lvlJc w:val="left"/>
      <w:pPr>
        <w:ind w:left="5794" w:hanging="360"/>
      </w:pPr>
      <w:rPr>
        <w:rFonts w:hint="default"/>
        <w:lang w:val="en-US" w:eastAsia="en-US" w:bidi="en-US"/>
      </w:rPr>
    </w:lvl>
    <w:lvl w:ilvl="8" w:tplc="1E8A0B30">
      <w:numFmt w:val="bullet"/>
      <w:lvlText w:val="•"/>
      <w:lvlJc w:val="left"/>
      <w:pPr>
        <w:ind w:left="6620" w:hanging="360"/>
      </w:pPr>
      <w:rPr>
        <w:rFonts w:hint="default"/>
        <w:lang w:val="en-US" w:eastAsia="en-US" w:bidi="en-US"/>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CC7205"/>
    <w:multiLevelType w:val="hybridMultilevel"/>
    <w:tmpl w:val="2C529612"/>
    <w:lvl w:ilvl="0" w:tplc="F3F80D2A">
      <w:numFmt w:val="bullet"/>
      <w:lvlText w:val=""/>
      <w:lvlJc w:val="left"/>
      <w:pPr>
        <w:ind w:left="832" w:hanging="360"/>
      </w:pPr>
      <w:rPr>
        <w:rFonts w:ascii="Symbol" w:eastAsia="Symbol" w:hAnsi="Symbol" w:cs="Symbol" w:hint="default"/>
        <w:w w:val="97"/>
        <w:sz w:val="20"/>
        <w:szCs w:val="20"/>
        <w:lang w:val="en-US" w:eastAsia="en-US" w:bidi="en-US"/>
      </w:rPr>
    </w:lvl>
    <w:lvl w:ilvl="1" w:tplc="61B265BC">
      <w:numFmt w:val="bullet"/>
      <w:lvlText w:val="•"/>
      <w:lvlJc w:val="left"/>
      <w:pPr>
        <w:ind w:left="1583" w:hanging="360"/>
      </w:pPr>
      <w:rPr>
        <w:rFonts w:hint="default"/>
        <w:lang w:val="en-US" w:eastAsia="en-US" w:bidi="en-US"/>
      </w:rPr>
    </w:lvl>
    <w:lvl w:ilvl="2" w:tplc="4572B0BE">
      <w:numFmt w:val="bullet"/>
      <w:lvlText w:val="•"/>
      <w:lvlJc w:val="left"/>
      <w:pPr>
        <w:ind w:left="2326" w:hanging="360"/>
      </w:pPr>
      <w:rPr>
        <w:rFonts w:hint="default"/>
        <w:lang w:val="en-US" w:eastAsia="en-US" w:bidi="en-US"/>
      </w:rPr>
    </w:lvl>
    <w:lvl w:ilvl="3" w:tplc="D80C00DA">
      <w:numFmt w:val="bullet"/>
      <w:lvlText w:val="•"/>
      <w:lvlJc w:val="left"/>
      <w:pPr>
        <w:ind w:left="3069" w:hanging="360"/>
      </w:pPr>
      <w:rPr>
        <w:rFonts w:hint="default"/>
        <w:lang w:val="en-US" w:eastAsia="en-US" w:bidi="en-US"/>
      </w:rPr>
    </w:lvl>
    <w:lvl w:ilvl="4" w:tplc="06B80FE4">
      <w:numFmt w:val="bullet"/>
      <w:lvlText w:val="•"/>
      <w:lvlJc w:val="left"/>
      <w:pPr>
        <w:ind w:left="3812" w:hanging="360"/>
      </w:pPr>
      <w:rPr>
        <w:rFonts w:hint="default"/>
        <w:lang w:val="en-US" w:eastAsia="en-US" w:bidi="en-US"/>
      </w:rPr>
    </w:lvl>
    <w:lvl w:ilvl="5" w:tplc="FCE69A2A">
      <w:numFmt w:val="bullet"/>
      <w:lvlText w:val="•"/>
      <w:lvlJc w:val="left"/>
      <w:pPr>
        <w:ind w:left="4556" w:hanging="360"/>
      </w:pPr>
      <w:rPr>
        <w:rFonts w:hint="default"/>
        <w:lang w:val="en-US" w:eastAsia="en-US" w:bidi="en-US"/>
      </w:rPr>
    </w:lvl>
    <w:lvl w:ilvl="6" w:tplc="CFD0F236">
      <w:numFmt w:val="bullet"/>
      <w:lvlText w:val="•"/>
      <w:lvlJc w:val="left"/>
      <w:pPr>
        <w:ind w:left="5299" w:hanging="360"/>
      </w:pPr>
      <w:rPr>
        <w:rFonts w:hint="default"/>
        <w:lang w:val="en-US" w:eastAsia="en-US" w:bidi="en-US"/>
      </w:rPr>
    </w:lvl>
    <w:lvl w:ilvl="7" w:tplc="B0EA7F7E">
      <w:numFmt w:val="bullet"/>
      <w:lvlText w:val="•"/>
      <w:lvlJc w:val="left"/>
      <w:pPr>
        <w:ind w:left="6042" w:hanging="360"/>
      </w:pPr>
      <w:rPr>
        <w:rFonts w:hint="default"/>
        <w:lang w:val="en-US" w:eastAsia="en-US" w:bidi="en-US"/>
      </w:rPr>
    </w:lvl>
    <w:lvl w:ilvl="8" w:tplc="7D94F46C">
      <w:numFmt w:val="bullet"/>
      <w:lvlText w:val="•"/>
      <w:lvlJc w:val="left"/>
      <w:pPr>
        <w:ind w:left="6785" w:hanging="360"/>
      </w:pPr>
      <w:rPr>
        <w:rFonts w:hint="default"/>
        <w:lang w:val="en-US" w:eastAsia="en-US" w:bidi="en-US"/>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192092">
    <w:abstractNumId w:val="0"/>
  </w:num>
  <w:num w:numId="2" w16cid:durableId="11151980">
    <w:abstractNumId w:val="17"/>
  </w:num>
  <w:num w:numId="3" w16cid:durableId="731150088">
    <w:abstractNumId w:val="8"/>
  </w:num>
  <w:num w:numId="4" w16cid:durableId="132910506">
    <w:abstractNumId w:val="1"/>
  </w:num>
  <w:num w:numId="5" w16cid:durableId="5788950">
    <w:abstractNumId w:val="20"/>
  </w:num>
  <w:num w:numId="6" w16cid:durableId="17508185">
    <w:abstractNumId w:val="22"/>
  </w:num>
  <w:num w:numId="7" w16cid:durableId="186606329">
    <w:abstractNumId w:val="10"/>
  </w:num>
  <w:num w:numId="8" w16cid:durableId="991299411">
    <w:abstractNumId w:val="19"/>
  </w:num>
  <w:num w:numId="9" w16cid:durableId="1529106559">
    <w:abstractNumId w:val="3"/>
  </w:num>
  <w:num w:numId="10" w16cid:durableId="227228416">
    <w:abstractNumId w:val="11"/>
  </w:num>
  <w:num w:numId="11" w16cid:durableId="1389917157">
    <w:abstractNumId w:val="7"/>
  </w:num>
  <w:num w:numId="12" w16cid:durableId="873426091">
    <w:abstractNumId w:val="21"/>
  </w:num>
  <w:num w:numId="13" w16cid:durableId="1915116275">
    <w:abstractNumId w:val="18"/>
  </w:num>
  <w:num w:numId="14" w16cid:durableId="952639071">
    <w:abstractNumId w:val="25"/>
  </w:num>
  <w:num w:numId="15" w16cid:durableId="49959312">
    <w:abstractNumId w:val="6"/>
  </w:num>
  <w:num w:numId="16" w16cid:durableId="1662804824">
    <w:abstractNumId w:val="16"/>
  </w:num>
  <w:num w:numId="17" w16cid:durableId="1582911251">
    <w:abstractNumId w:val="12"/>
  </w:num>
  <w:num w:numId="18" w16cid:durableId="1190334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9746256">
    <w:abstractNumId w:val="15"/>
  </w:num>
  <w:num w:numId="20" w16cid:durableId="452213109">
    <w:abstractNumId w:val="14"/>
  </w:num>
  <w:num w:numId="21" w16cid:durableId="1386293569">
    <w:abstractNumId w:val="23"/>
  </w:num>
  <w:num w:numId="22" w16cid:durableId="915629840">
    <w:abstractNumId w:val="1"/>
  </w:num>
  <w:num w:numId="23" w16cid:durableId="163671599">
    <w:abstractNumId w:val="0"/>
  </w:num>
  <w:num w:numId="24" w16cid:durableId="2041664434">
    <w:abstractNumId w:val="5"/>
  </w:num>
  <w:num w:numId="25" w16cid:durableId="1591157341">
    <w:abstractNumId w:val="9"/>
  </w:num>
  <w:num w:numId="26" w16cid:durableId="2140679670">
    <w:abstractNumId w:val="20"/>
  </w:num>
  <w:num w:numId="27" w16cid:durableId="154339886">
    <w:abstractNumId w:val="2"/>
  </w:num>
  <w:num w:numId="28" w16cid:durableId="1148283388">
    <w:abstractNumId w:val="4"/>
  </w:num>
  <w:num w:numId="29" w16cid:durableId="125902456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08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976B1"/>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54C"/>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3211"/>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0931"/>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3754"/>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37E76"/>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4D7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A13211"/>
    <w:pPr>
      <w:widowControl w:val="0"/>
      <w:autoSpaceDE w:val="0"/>
      <w:autoSpaceDN w:val="0"/>
      <w:ind w:left="112"/>
    </w:pPr>
    <w:rPr>
      <w:rFonts w:ascii="Calibri" w:eastAsia="Calibri" w:hAnsi="Calibri" w:cs="Calibri"/>
      <w:sz w:val="22"/>
      <w:szCs w:val="22"/>
      <w:lang w:val="en-US" w:eastAsia="en-US" w:bidi="en-US"/>
    </w:rPr>
  </w:style>
  <w:style w:type="character" w:styleId="UnresolvedMention">
    <w:name w:val="Unresolved Mention"/>
    <w:basedOn w:val="DefaultParagraphFont"/>
    <w:uiPriority w:val="99"/>
    <w:semiHidden/>
    <w:unhideWhenUsed/>
    <w:rsid w:val="00E37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C9B8A-BE44-47DD-B1A5-666DDF9E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5750</Words>
  <Characters>31262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36939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4</cp:revision>
  <cp:lastPrinted>2020-03-25T10:41:00Z</cp:lastPrinted>
  <dcterms:created xsi:type="dcterms:W3CDTF">2025-10-29T15:01:00Z</dcterms:created>
  <dcterms:modified xsi:type="dcterms:W3CDTF">2025-11-19T12:53:00Z</dcterms:modified>
</cp:coreProperties>
</file>