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178B115" w14:textId="77777777" w:rsidR="00C74C2E" w:rsidRDefault="00C74C2E" w:rsidP="00C10E8B">
      <w:pPr>
        <w:jc w:val="center"/>
        <w:rPr>
          <w:rFonts w:cs="Arial"/>
          <w:b/>
          <w:iCs/>
        </w:rPr>
      </w:pPr>
      <w:r w:rsidRPr="00C74C2E">
        <w:rPr>
          <w:rFonts w:cs="Arial"/>
          <w:b/>
          <w:iCs/>
        </w:rPr>
        <w:t xml:space="preserve">NRS15388, Grade </w:t>
      </w:r>
      <w:r w:rsidRPr="005F4C74">
        <w:rPr>
          <w:rFonts w:cs="Arial"/>
          <w:b/>
          <w:iCs/>
        </w:rPr>
        <w:t>VII Acute Information Manager</w:t>
      </w:r>
      <w:r>
        <w:rPr>
          <w:rFonts w:cs="Arial"/>
          <w:b/>
          <w:iCs/>
        </w:rPr>
        <w:t xml:space="preserve"> </w:t>
      </w:r>
    </w:p>
    <w:p w14:paraId="07489074" w14:textId="325C4FB7" w:rsidR="00C10E8B" w:rsidRPr="00C74C2E" w:rsidRDefault="00C74C2E" w:rsidP="00C74C2E">
      <w:pPr>
        <w:jc w:val="center"/>
        <w:rPr>
          <w:rFonts w:cs="Arial"/>
          <w:b/>
          <w:iCs/>
        </w:rPr>
      </w:pPr>
      <w:r>
        <w:rPr>
          <w:rFonts w:cs="Arial"/>
          <w:b/>
          <w:iCs/>
        </w:rPr>
        <w:t xml:space="preserve">National </w:t>
      </w:r>
      <w:r w:rsidRPr="005F4C74">
        <w:rPr>
          <w:rFonts w:cs="Arial"/>
          <w:b/>
          <w:iCs/>
        </w:rPr>
        <w:t xml:space="preserve">Business Information Unit, </w:t>
      </w:r>
      <w:r>
        <w:rPr>
          <w:rFonts w:cs="Arial"/>
          <w:b/>
          <w:iCs/>
        </w:rPr>
        <w:t>Planning and Performance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74C2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60B8C8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2F2FA6">
        <w:rPr>
          <w:rFonts w:cs="Arial"/>
        </w:rPr>
        <w:t xml:space="preserve"> </w:t>
      </w:r>
      <w:r w:rsidR="002F2FA6" w:rsidRPr="002F2FA6">
        <w:rPr>
          <w:rFonts w:cs="Arial"/>
          <w:b/>
          <w:bCs/>
        </w:rPr>
        <w:t>Wednesday 24th of June 2026 at 12:00PM</w:t>
      </w:r>
      <w:r w:rsidR="002F2FA6" w:rsidRPr="002F2FA6">
        <w:rPr>
          <w:rFonts w:cs="Arial"/>
          <w:b/>
          <w:bCs/>
        </w:rPr>
        <w:t>.</w:t>
      </w:r>
      <w:r w:rsidR="002F2FA6">
        <w:rPr>
          <w:rFonts w:ascii="Calibri" w:hAnsi="Calibri" w:cs="Calibri"/>
          <w:b/>
        </w:rPr>
        <w:t xml:space="preserve"> </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C74C2E" w:rsidRDefault="006158B7" w:rsidP="00176309">
      <w:pPr>
        <w:numPr>
          <w:ilvl w:val="0"/>
          <w:numId w:val="5"/>
        </w:numPr>
        <w:jc w:val="both"/>
        <w:rPr>
          <w:rFonts w:cs="Arial"/>
          <w:bCs/>
        </w:rPr>
      </w:pPr>
      <w:r w:rsidRPr="00C74C2E">
        <w:rPr>
          <w:rFonts w:cs="Arial"/>
          <w:bCs/>
        </w:rPr>
        <w:t xml:space="preserve">Candidates who are successful at interview will be placed on a panel in order of merit. </w:t>
      </w:r>
    </w:p>
    <w:p w14:paraId="07435B64" w14:textId="77777777" w:rsidR="002807A0" w:rsidRPr="00C74C2E" w:rsidRDefault="002807A0" w:rsidP="00176309">
      <w:pPr>
        <w:numPr>
          <w:ilvl w:val="0"/>
          <w:numId w:val="5"/>
        </w:numPr>
        <w:jc w:val="both"/>
        <w:rPr>
          <w:rFonts w:cs="Arial"/>
          <w:bCs/>
        </w:rPr>
      </w:pPr>
      <w:r w:rsidRPr="00C74C2E">
        <w:rPr>
          <w:rFonts w:cs="Arial"/>
          <w:bCs/>
        </w:rPr>
        <w:t>If there is an existing panel in place this may take precedence over the newly formed panel for this campaign</w:t>
      </w:r>
      <w:r w:rsidR="00CA03A6" w:rsidRPr="00C74C2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511CB2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74C2E" w:rsidRPr="00916876">
          <w:rPr>
            <w:rStyle w:val="Hyperlink"/>
            <w:rFonts w:cs="Arial"/>
          </w:rPr>
          <w:t>recruitmanagement@hse.ie</w:t>
        </w:r>
      </w:hyperlink>
      <w:r w:rsidR="00C74C2E">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C74C2E">
        <w:rPr>
          <w:iCs/>
        </w:rPr>
        <w:t xml:space="preserve"> </w:t>
      </w:r>
      <w:r w:rsidR="00C74C2E" w:rsidRPr="00C74C2E">
        <w:rPr>
          <w:iCs/>
          <w:u w:val="single"/>
        </w:rPr>
        <w:t>Please include the campaign reference in the subject line.</w:t>
      </w:r>
      <w:r w:rsidR="00C74C2E">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A4881A5" w14:textId="77777777" w:rsidR="00C74C2E" w:rsidRDefault="00C74C2E" w:rsidP="00C74C2E">
      <w:pPr>
        <w:rPr>
          <w:rFonts w:ascii="Helv" w:hAnsi="Helv" w:cs="Helv"/>
          <w:b/>
          <w:i/>
          <w:iCs/>
          <w:color w:val="000000"/>
        </w:rPr>
      </w:pPr>
    </w:p>
    <w:p w14:paraId="138AA961" w14:textId="42B08E1B" w:rsidR="00C74C2E" w:rsidRPr="001079CD" w:rsidRDefault="00C74C2E" w:rsidP="00C74C2E">
      <w:pPr>
        <w:rPr>
          <w:rFonts w:cs="Arial"/>
          <w:b/>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14:paraId="4990B831" w14:textId="77777777" w:rsidR="00C74C2E" w:rsidRPr="001079CD" w:rsidRDefault="00C74C2E" w:rsidP="00C74C2E">
      <w:pPr>
        <w:rPr>
          <w:rFonts w:cs="Arial"/>
          <w:b/>
        </w:rPr>
      </w:pPr>
    </w:p>
    <w:p w14:paraId="4FF7145B" w14:textId="77777777" w:rsidR="00C74C2E" w:rsidRPr="00555418" w:rsidRDefault="00C74C2E" w:rsidP="00C74C2E">
      <w:pPr>
        <w:numPr>
          <w:ilvl w:val="1"/>
          <w:numId w:val="28"/>
        </w:numPr>
        <w:tabs>
          <w:tab w:val="num" w:pos="480"/>
        </w:tabs>
        <w:jc w:val="both"/>
        <w:rPr>
          <w:rFonts w:cs="Arial"/>
        </w:rPr>
      </w:pPr>
      <w:r w:rsidRPr="00555418">
        <w:rPr>
          <w:rFonts w:cs="Arial"/>
        </w:rPr>
        <w:t>Eligible applicants will be those who on the closing date for the competition:</w:t>
      </w:r>
    </w:p>
    <w:p w14:paraId="54D4B7C1" w14:textId="77777777" w:rsidR="00C74C2E" w:rsidRPr="00555418" w:rsidRDefault="00C74C2E" w:rsidP="00C74C2E">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603"/>
      </w:tblGrid>
      <w:tr w:rsidR="00C74C2E" w:rsidRPr="00555418" w14:paraId="011648E6" w14:textId="77777777" w:rsidTr="001E23D7">
        <w:tc>
          <w:tcPr>
            <w:tcW w:w="1053" w:type="dxa"/>
            <w:tcBorders>
              <w:top w:val="nil"/>
              <w:left w:val="nil"/>
              <w:bottom w:val="nil"/>
              <w:right w:val="nil"/>
            </w:tcBorders>
          </w:tcPr>
          <w:p w14:paraId="7F9A5900" w14:textId="77777777" w:rsidR="00C74C2E" w:rsidRPr="000162D9" w:rsidRDefault="00C74C2E" w:rsidP="001E23D7">
            <w:pPr>
              <w:tabs>
                <w:tab w:val="center" w:pos="4320"/>
                <w:tab w:val="right" w:pos="8640"/>
              </w:tabs>
              <w:contextualSpacing/>
              <w:jc w:val="both"/>
              <w:rPr>
                <w:rFonts w:cs="Arial"/>
              </w:rPr>
            </w:pPr>
          </w:p>
        </w:tc>
        <w:tc>
          <w:tcPr>
            <w:tcW w:w="7603" w:type="dxa"/>
            <w:tcBorders>
              <w:top w:val="nil"/>
              <w:left w:val="nil"/>
              <w:bottom w:val="nil"/>
              <w:right w:val="nil"/>
            </w:tcBorders>
          </w:tcPr>
          <w:p w14:paraId="5F5558CC" w14:textId="77777777" w:rsidR="00C74C2E" w:rsidRPr="000162D9" w:rsidRDefault="00C74C2E" w:rsidP="001E23D7">
            <w:pPr>
              <w:tabs>
                <w:tab w:val="center" w:pos="4320"/>
                <w:tab w:val="right" w:pos="8640"/>
              </w:tabs>
              <w:contextualSpacing/>
              <w:jc w:val="both"/>
              <w:rPr>
                <w:rFonts w:eastAsia="Calibri" w:cs="Arial"/>
                <w:iCs/>
                <w:color w:val="000000"/>
                <w:lang w:eastAsia="en-US"/>
              </w:rPr>
            </w:pPr>
            <w:r w:rsidRPr="000162D9">
              <w:rPr>
                <w:rFonts w:cs="Arial"/>
              </w:rPr>
              <w:t xml:space="preserve">Have satisfactory experience in an office under the HSE, TUSLA, </w:t>
            </w:r>
            <w:r w:rsidRPr="000162D9">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683C776D" w14:textId="77777777" w:rsidR="00C74C2E" w:rsidRPr="000162D9" w:rsidRDefault="00C74C2E" w:rsidP="001E23D7">
            <w:pPr>
              <w:tabs>
                <w:tab w:val="center" w:pos="4320"/>
                <w:tab w:val="right" w:pos="8640"/>
              </w:tabs>
              <w:contextualSpacing/>
              <w:jc w:val="both"/>
              <w:rPr>
                <w:rFonts w:eastAsia="Calibri" w:cs="Arial"/>
                <w:iCs/>
                <w:color w:val="000000"/>
                <w:lang w:eastAsia="en-US"/>
              </w:rPr>
            </w:pPr>
          </w:p>
          <w:p w14:paraId="72BE9152" w14:textId="77777777" w:rsidR="00C74C2E" w:rsidRPr="000162D9" w:rsidRDefault="00C74C2E" w:rsidP="001E23D7">
            <w:pPr>
              <w:tabs>
                <w:tab w:val="center" w:pos="4320"/>
                <w:tab w:val="right" w:pos="8640"/>
              </w:tabs>
              <w:contextualSpacing/>
              <w:jc w:val="center"/>
              <w:rPr>
                <w:rFonts w:eastAsia="Calibri" w:cs="Arial"/>
                <w:iCs/>
                <w:color w:val="000000"/>
                <w:lang w:eastAsia="en-US"/>
              </w:rPr>
            </w:pPr>
            <w:r w:rsidRPr="000162D9">
              <w:rPr>
                <w:rFonts w:eastAsia="Calibri" w:cs="Arial"/>
                <w:iCs/>
                <w:color w:val="000000"/>
                <w:lang w:eastAsia="en-US"/>
              </w:rPr>
              <w:t>and</w:t>
            </w:r>
          </w:p>
          <w:p w14:paraId="13D9F93E" w14:textId="77777777" w:rsidR="00C74C2E" w:rsidRPr="000162D9" w:rsidRDefault="00C74C2E" w:rsidP="001E23D7">
            <w:pPr>
              <w:tabs>
                <w:tab w:val="center" w:pos="4320"/>
                <w:tab w:val="right" w:pos="8640"/>
              </w:tabs>
              <w:contextualSpacing/>
              <w:jc w:val="center"/>
              <w:rPr>
                <w:rFonts w:cs="Arial"/>
              </w:rPr>
            </w:pPr>
          </w:p>
          <w:p w14:paraId="2C3B7C24" w14:textId="77777777" w:rsidR="00C74C2E" w:rsidRPr="000162D9" w:rsidRDefault="00C74C2E" w:rsidP="001E23D7">
            <w:pPr>
              <w:tabs>
                <w:tab w:val="center" w:pos="4320"/>
                <w:tab w:val="right" w:pos="8640"/>
              </w:tabs>
              <w:contextualSpacing/>
              <w:jc w:val="both"/>
              <w:rPr>
                <w:rFonts w:cs="Arial"/>
              </w:rPr>
            </w:pPr>
            <w:r w:rsidRPr="000162D9">
              <w:rPr>
                <w:rFonts w:cs="Arial"/>
              </w:rPr>
              <w:t xml:space="preserve">have not less than two years satisfactory experience either in that office or in an office at a level not lower than that of Clerical Officer in the HSE, TUSLA, </w:t>
            </w:r>
            <w:r w:rsidRPr="000162D9">
              <w:rPr>
                <w:rFonts w:eastAsia="Calibri" w:cs="Arial"/>
                <w:iCs/>
                <w:color w:val="000000"/>
                <w:lang w:eastAsia="en-US"/>
              </w:rPr>
              <w:t>other statutory health agencies, or a body which provides services on behalf of the HSE under Section 38 of the Health Act 2004</w:t>
            </w:r>
          </w:p>
        </w:tc>
      </w:tr>
    </w:tbl>
    <w:p w14:paraId="4EF74E89" w14:textId="77777777" w:rsidR="00C74C2E" w:rsidRPr="00555418" w:rsidRDefault="00C74C2E" w:rsidP="00C74C2E">
      <w:pPr>
        <w:tabs>
          <w:tab w:val="left" w:pos="1680"/>
        </w:tabs>
        <w:ind w:left="1418"/>
        <w:jc w:val="both"/>
        <w:rPr>
          <w:rFonts w:cs="Arial"/>
        </w:rPr>
      </w:pPr>
    </w:p>
    <w:p w14:paraId="008CB358" w14:textId="77777777" w:rsidR="00C74C2E" w:rsidRPr="00555418" w:rsidRDefault="00C74C2E" w:rsidP="00C74C2E">
      <w:pPr>
        <w:jc w:val="center"/>
        <w:rPr>
          <w:rFonts w:cs="Arial"/>
          <w:bCs/>
        </w:rPr>
      </w:pPr>
      <w:r w:rsidRPr="00555418">
        <w:rPr>
          <w:rFonts w:cs="Arial"/>
          <w:bCs/>
        </w:rPr>
        <w:t>and</w:t>
      </w:r>
    </w:p>
    <w:p w14:paraId="30C8E02E" w14:textId="77777777" w:rsidR="00C74C2E" w:rsidRPr="00555418" w:rsidRDefault="00C74C2E" w:rsidP="00C74C2E">
      <w:pPr>
        <w:jc w:val="center"/>
        <w:rPr>
          <w:rFonts w:cs="Arial"/>
          <w:bCs/>
        </w:rPr>
      </w:pPr>
    </w:p>
    <w:p w14:paraId="254D1ACF" w14:textId="77777777" w:rsidR="00C74C2E" w:rsidRPr="00555418" w:rsidRDefault="00C74C2E" w:rsidP="00C74C2E">
      <w:pPr>
        <w:numPr>
          <w:ilvl w:val="1"/>
          <w:numId w:val="28"/>
        </w:numPr>
        <w:tabs>
          <w:tab w:val="num" w:pos="480"/>
        </w:tabs>
        <w:jc w:val="both"/>
        <w:rPr>
          <w:rFonts w:cs="Arial"/>
        </w:rPr>
      </w:pPr>
      <w:r w:rsidRPr="00555418">
        <w:rPr>
          <w:rFonts w:cs="Arial"/>
        </w:rPr>
        <w:t xml:space="preserve">Candidates must possess the requisite knowledge and ability, including a high standard of suitability, for the proper discharge of the office. </w:t>
      </w:r>
    </w:p>
    <w:p w14:paraId="1A0A2ADD" w14:textId="77777777" w:rsidR="00C74C2E" w:rsidRPr="00555418" w:rsidRDefault="00C74C2E" w:rsidP="00C74C2E">
      <w:pPr>
        <w:rPr>
          <w:rFonts w:cs="Arial"/>
        </w:rPr>
      </w:pPr>
    </w:p>
    <w:p w14:paraId="131B3033" w14:textId="77777777" w:rsidR="00C74C2E" w:rsidRPr="00682F03" w:rsidRDefault="00C74C2E" w:rsidP="00C74C2E">
      <w:pPr>
        <w:jc w:val="both"/>
        <w:rPr>
          <w:rFonts w:cs="Arial"/>
          <w:b/>
          <w:bCs/>
          <w:i/>
          <w:iCs/>
        </w:rPr>
      </w:pPr>
    </w:p>
    <w:p w14:paraId="1514D06F" w14:textId="77777777" w:rsidR="00C74C2E" w:rsidRPr="00682F03" w:rsidRDefault="00C74C2E" w:rsidP="00C74C2E">
      <w:pPr>
        <w:jc w:val="both"/>
        <w:rPr>
          <w:rFonts w:cs="Arial"/>
          <w:b/>
        </w:rPr>
      </w:pPr>
      <w:r w:rsidRPr="00682F03">
        <w:rPr>
          <w:rFonts w:cs="Arial"/>
          <w:b/>
        </w:rPr>
        <w:t>Health</w:t>
      </w:r>
    </w:p>
    <w:p w14:paraId="5A8D017C" w14:textId="77777777" w:rsidR="00C74C2E" w:rsidRPr="00682F03" w:rsidRDefault="00C74C2E" w:rsidP="00C74C2E">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7EDB5B" w14:textId="77777777" w:rsidR="00C74C2E" w:rsidRPr="00682F03" w:rsidRDefault="00C74C2E" w:rsidP="00C74C2E">
      <w:pPr>
        <w:jc w:val="both"/>
        <w:rPr>
          <w:rFonts w:cs="Arial"/>
        </w:rPr>
      </w:pPr>
    </w:p>
    <w:p w14:paraId="13B22A65" w14:textId="77777777" w:rsidR="00C74C2E" w:rsidRPr="00682F03" w:rsidRDefault="00C74C2E" w:rsidP="00C74C2E">
      <w:pPr>
        <w:ind w:right="-766"/>
        <w:jc w:val="both"/>
        <w:rPr>
          <w:rFonts w:cs="Arial"/>
          <w:iCs/>
        </w:rPr>
      </w:pPr>
      <w:r w:rsidRPr="00682F03">
        <w:rPr>
          <w:rFonts w:cs="Arial"/>
          <w:b/>
          <w:bCs/>
        </w:rPr>
        <w:t>Character</w:t>
      </w:r>
    </w:p>
    <w:p w14:paraId="351133BE" w14:textId="77777777" w:rsidR="00C74C2E" w:rsidRPr="00682F03" w:rsidRDefault="00C74C2E" w:rsidP="00C74C2E">
      <w:pPr>
        <w:ind w:right="-766"/>
        <w:jc w:val="both"/>
        <w:rPr>
          <w:rFonts w:cs="Arial"/>
        </w:rPr>
      </w:pPr>
      <w:r w:rsidRPr="00682F03">
        <w:rPr>
          <w:rFonts w:cs="Arial"/>
        </w:rPr>
        <w:t>Each candidate for and any person holding the office must be of good character.</w:t>
      </w:r>
    </w:p>
    <w:p w14:paraId="6FFACBB3" w14:textId="77777777" w:rsidR="00C74C2E" w:rsidRPr="00682F03" w:rsidRDefault="00C74C2E" w:rsidP="00C74C2E">
      <w:pPr>
        <w:ind w:right="-766"/>
        <w:jc w:val="both"/>
        <w:rPr>
          <w:rFonts w:cs="Arial"/>
        </w:rPr>
      </w:pPr>
    </w:p>
    <w:p w14:paraId="03657D67" w14:textId="77777777" w:rsidR="00C74C2E" w:rsidRDefault="00C74C2E" w:rsidP="00C74C2E">
      <w:pPr>
        <w:autoSpaceDE w:val="0"/>
        <w:autoSpaceDN w:val="0"/>
        <w:adjustRightInd w:val="0"/>
        <w:spacing w:line="240" w:lineRule="atLeast"/>
        <w:rPr>
          <w:rFonts w:cs="Arial"/>
          <w:i/>
          <w:iCs/>
        </w:rPr>
      </w:pPr>
      <w:r w:rsidRPr="00425C14">
        <w:rPr>
          <w:rFonts w:cs="Arial"/>
          <w:i/>
          <w:iCs/>
        </w:rPr>
        <w:t xml:space="preserve">* A list of </w:t>
      </w:r>
      <w:r>
        <w:rPr>
          <w:rFonts w:cs="Arial"/>
          <w:i/>
          <w:iCs/>
        </w:rPr>
        <w:t>‘</w:t>
      </w:r>
      <w:r w:rsidRPr="00425C14">
        <w:rPr>
          <w:rFonts w:cs="Arial"/>
          <w:i/>
          <w:iCs/>
        </w:rPr>
        <w:t>other statutory health agencies</w:t>
      </w:r>
      <w:r>
        <w:rPr>
          <w:rFonts w:cs="Arial"/>
          <w:i/>
          <w:iCs/>
        </w:rPr>
        <w:t>’</w:t>
      </w:r>
      <w:r w:rsidRPr="00425C14">
        <w:rPr>
          <w:rFonts w:cs="Arial"/>
          <w:i/>
          <w:iCs/>
        </w:rPr>
        <w:t xml:space="preserve"> can be found </w:t>
      </w:r>
      <w:hyperlink r:id="rId19" w:history="1">
        <w:r w:rsidRPr="00425C14">
          <w:rPr>
            <w:rStyle w:val="Hyperlink"/>
            <w:rFonts w:cs="Arial"/>
            <w:i/>
            <w:iCs/>
          </w:rPr>
          <w:t>here</w:t>
        </w:r>
      </w:hyperlink>
      <w:r>
        <w:rPr>
          <w:rFonts w:cs="Arial"/>
          <w:i/>
          <w:iCs/>
        </w:rPr>
        <w:t xml:space="preserve">. </w:t>
      </w:r>
    </w:p>
    <w:p w14:paraId="6826A4A6" w14:textId="77777777" w:rsidR="00F46E24" w:rsidRDefault="00F46E24" w:rsidP="006B269C">
      <w:pPr>
        <w:rPr>
          <w:rFonts w:cs="Arial"/>
          <w:b/>
          <w:bCs/>
          <w:iCs/>
          <w:color w:val="FF0000"/>
        </w:rPr>
      </w:pPr>
    </w:p>
    <w:p w14:paraId="2D875B68" w14:textId="0D375D69" w:rsidR="00F46E24" w:rsidRDefault="00C74C2E" w:rsidP="006B269C">
      <w:pPr>
        <w:rPr>
          <w:rFonts w:cs="Arial"/>
          <w:b/>
          <w:bCs/>
        </w:rPr>
      </w:pPr>
      <w:r w:rsidRPr="000162D9">
        <w:rPr>
          <w:rFonts w:cs="Arial"/>
          <w:b/>
          <w:bCs/>
        </w:rPr>
        <w:t>Post Specific Requirements</w:t>
      </w:r>
    </w:p>
    <w:p w14:paraId="20073301" w14:textId="77777777" w:rsidR="00C74C2E" w:rsidRDefault="00C74C2E" w:rsidP="006B269C">
      <w:pPr>
        <w:rPr>
          <w:rFonts w:cs="Arial"/>
          <w:b/>
          <w:bCs/>
          <w:iCs/>
          <w:color w:val="FF0000"/>
        </w:rPr>
      </w:pPr>
    </w:p>
    <w:p w14:paraId="09AE9F71" w14:textId="77777777" w:rsidR="00C74C2E" w:rsidRPr="00E67CA2" w:rsidRDefault="00C74C2E" w:rsidP="00C74C2E">
      <w:pPr>
        <w:numPr>
          <w:ilvl w:val="0"/>
          <w:numId w:val="29"/>
        </w:numPr>
        <w:rPr>
          <w:rFonts w:cs="Arial"/>
          <w:b/>
          <w:bCs/>
          <w:iCs/>
        </w:rPr>
      </w:pPr>
      <w:r w:rsidRPr="00E30309">
        <w:rPr>
          <w:rFonts w:cs="Arial"/>
          <w:iCs/>
        </w:rPr>
        <w:t>Experience of working in a busy office environment managing competing priorities and deadlines</w:t>
      </w:r>
      <w:r>
        <w:rPr>
          <w:rFonts w:cs="Arial"/>
          <w:iCs/>
        </w:rPr>
        <w:t>, where the a</w:t>
      </w:r>
      <w:r>
        <w:rPr>
          <w:rFonts w:cs="Arial"/>
          <w:bCs/>
          <w:iCs/>
        </w:rPr>
        <w:t xml:space="preserve">bility to </w:t>
      </w:r>
      <w:r w:rsidRPr="00A4761A">
        <w:rPr>
          <w:rFonts w:cs="Arial"/>
          <w:bCs/>
          <w:iCs/>
        </w:rPr>
        <w:t>analyse and interpret information</w:t>
      </w:r>
      <w:r>
        <w:rPr>
          <w:rFonts w:cs="Arial"/>
          <w:bCs/>
          <w:iCs/>
        </w:rPr>
        <w:t xml:space="preserve"> to make decisions quickly and accurately was required.  </w:t>
      </w:r>
    </w:p>
    <w:p w14:paraId="0B275DBD" w14:textId="77777777" w:rsidR="00C74C2E" w:rsidRPr="004B5771" w:rsidRDefault="00C74C2E" w:rsidP="00C74C2E">
      <w:pPr>
        <w:ind w:left="360"/>
        <w:rPr>
          <w:rFonts w:cs="Arial"/>
          <w:b/>
          <w:bCs/>
          <w:iCs/>
        </w:rPr>
      </w:pPr>
      <w:r>
        <w:rPr>
          <w:rFonts w:cs="Arial"/>
          <w:bCs/>
          <w:iCs/>
        </w:rPr>
        <w:t xml:space="preserve">  </w:t>
      </w:r>
    </w:p>
    <w:p w14:paraId="0043CB2B" w14:textId="77777777" w:rsidR="00C74C2E" w:rsidRPr="0027178B" w:rsidRDefault="00C74C2E" w:rsidP="00C74C2E">
      <w:pPr>
        <w:pStyle w:val="ListParagraph"/>
        <w:numPr>
          <w:ilvl w:val="0"/>
          <w:numId w:val="29"/>
        </w:numPr>
        <w:contextualSpacing w:val="0"/>
        <w:jc w:val="both"/>
        <w:rPr>
          <w:rFonts w:ascii="Arial" w:hAnsi="Arial" w:cs="Arial"/>
          <w:color w:val="000000"/>
        </w:rPr>
      </w:pPr>
      <w:r w:rsidRPr="0027178B">
        <w:rPr>
          <w:rFonts w:ascii="Arial" w:hAnsi="Arial" w:cs="Arial"/>
        </w:rPr>
        <w:t>Significant experience of working</w:t>
      </w:r>
      <w:r w:rsidRPr="0027178B">
        <w:rPr>
          <w:rFonts w:ascii="Arial" w:hAnsi="Arial" w:cs="Arial"/>
          <w:bCs/>
          <w:iCs/>
        </w:rPr>
        <w:t xml:space="preserve"> with high volumes of data and ex</w:t>
      </w:r>
      <w:r w:rsidRPr="0027178B">
        <w:rPr>
          <w:rFonts w:ascii="Arial" w:hAnsi="Arial" w:cs="Arial"/>
          <w:color w:val="000000"/>
        </w:rPr>
        <w:t>perience in statistical analysis and data modelling as relevant to the role</w:t>
      </w:r>
    </w:p>
    <w:p w14:paraId="43D5EA3E" w14:textId="77777777" w:rsidR="00C74C2E" w:rsidRDefault="00C74C2E" w:rsidP="00C74C2E">
      <w:pPr>
        <w:ind w:left="360"/>
        <w:rPr>
          <w:rFonts w:cs="Arial"/>
          <w:bCs/>
          <w:iCs/>
        </w:rPr>
      </w:pPr>
    </w:p>
    <w:p w14:paraId="00881A28" w14:textId="77777777" w:rsidR="00C74C2E" w:rsidRPr="006E30C4" w:rsidRDefault="00C74C2E" w:rsidP="00C74C2E">
      <w:pPr>
        <w:numPr>
          <w:ilvl w:val="0"/>
          <w:numId w:val="29"/>
        </w:numPr>
        <w:rPr>
          <w:rFonts w:cs="Arial"/>
          <w:bCs/>
          <w:iCs/>
        </w:rPr>
      </w:pPr>
      <w:r>
        <w:rPr>
          <w:rFonts w:cs="Arial"/>
          <w:bCs/>
          <w:iCs/>
        </w:rPr>
        <w:t>Experience of the p</w:t>
      </w:r>
      <w:r w:rsidRPr="006E30C4">
        <w:rPr>
          <w:rFonts w:cs="Arial"/>
          <w:bCs/>
          <w:iCs/>
        </w:rPr>
        <w:t xml:space="preserve">reparation of </w:t>
      </w:r>
      <w:r>
        <w:rPr>
          <w:rFonts w:cs="Arial"/>
          <w:bCs/>
          <w:iCs/>
        </w:rPr>
        <w:t xml:space="preserve">high-quality </w:t>
      </w:r>
      <w:r w:rsidRPr="006E30C4">
        <w:rPr>
          <w:rFonts w:cs="Arial"/>
          <w:bCs/>
          <w:iCs/>
        </w:rPr>
        <w:t xml:space="preserve">reports </w:t>
      </w:r>
      <w:r>
        <w:rPr>
          <w:rFonts w:cs="Arial"/>
          <w:bCs/>
          <w:iCs/>
        </w:rPr>
        <w:t>including use of advanced excel functionality within extremely tight deadlines</w:t>
      </w:r>
    </w:p>
    <w:p w14:paraId="5CD55828" w14:textId="77777777" w:rsidR="00826004" w:rsidRDefault="00C74C2E" w:rsidP="00C74C2E">
      <w:pPr>
        <w:numPr>
          <w:ilvl w:val="0"/>
          <w:numId w:val="29"/>
        </w:numPr>
        <w:spacing w:before="120"/>
        <w:rPr>
          <w:rFonts w:cs="Arial"/>
        </w:rPr>
      </w:pPr>
      <w:r w:rsidRPr="0027178B">
        <w:rPr>
          <w:rFonts w:cs="Arial"/>
        </w:rPr>
        <w:t xml:space="preserve">Experience of working collaboratively with multiple internal and external stakeholders as relevant to this role </w:t>
      </w:r>
    </w:p>
    <w:p w14:paraId="006012ED" w14:textId="49FC4401" w:rsidR="00C74C2E" w:rsidRPr="0027178B" w:rsidRDefault="00826004" w:rsidP="00C74C2E">
      <w:pPr>
        <w:numPr>
          <w:ilvl w:val="0"/>
          <w:numId w:val="29"/>
        </w:numPr>
        <w:spacing w:before="120"/>
        <w:rPr>
          <w:rFonts w:cs="Arial"/>
        </w:rPr>
      </w:pPr>
      <w:r>
        <w:rPr>
          <w:rFonts w:cs="Arial"/>
        </w:rPr>
        <w:t>E</w:t>
      </w:r>
      <w:r w:rsidR="00C74C2E" w:rsidRPr="0027178B">
        <w:rPr>
          <w:rFonts w:cs="Arial"/>
        </w:rPr>
        <w:t>xperience of managing staff</w:t>
      </w:r>
    </w:p>
    <w:p w14:paraId="3CCA7C39"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4F3C672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359FE2B5" w:rsidR="00484E14" w:rsidRDefault="00484E14" w:rsidP="00C74C2E">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AEE4" w14:textId="77777777" w:rsidR="0084093E" w:rsidRDefault="0084093E">
      <w:r>
        <w:separator/>
      </w:r>
    </w:p>
  </w:endnote>
  <w:endnote w:type="continuationSeparator" w:id="0">
    <w:p w14:paraId="0F003A2B" w14:textId="77777777" w:rsidR="0084093E" w:rsidRDefault="0084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C9A49D0" w:rsidR="00CA4FC3" w:rsidRDefault="00C74C2E" w:rsidP="00BE366C">
    <w:pPr>
      <w:pStyle w:val="Footer"/>
      <w:tabs>
        <w:tab w:val="left" w:pos="1290"/>
      </w:tabs>
      <w:rPr>
        <w:rFonts w:ascii="Arial" w:hAnsi="Arial" w:cs="Arial"/>
        <w:sz w:val="20"/>
      </w:rPr>
    </w:pPr>
    <w:r>
      <w:rPr>
        <w:rFonts w:ascii="Arial" w:hAnsi="Arial" w:cs="Arial"/>
        <w:iCs/>
        <w:sz w:val="20"/>
        <w:lang w:eastAsia="en-GB"/>
      </w:rPr>
      <w:t>NRS15388 Grade VII Acute Information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FE48" w14:textId="77777777" w:rsidR="0084093E" w:rsidRDefault="0084093E">
      <w:r>
        <w:separator/>
      </w:r>
    </w:p>
  </w:footnote>
  <w:footnote w:type="continuationSeparator" w:id="0">
    <w:p w14:paraId="65BFD193" w14:textId="77777777" w:rsidR="0084093E" w:rsidRDefault="0084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81B63"/>
    <w:multiLevelType w:val="hybridMultilevel"/>
    <w:tmpl w:val="8A427D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9591454">
    <w:abstractNumId w:val="0"/>
  </w:num>
  <w:num w:numId="2" w16cid:durableId="1287814960">
    <w:abstractNumId w:val="17"/>
  </w:num>
  <w:num w:numId="3" w16cid:durableId="1698698448">
    <w:abstractNumId w:val="8"/>
  </w:num>
  <w:num w:numId="4" w16cid:durableId="1453015322">
    <w:abstractNumId w:val="1"/>
  </w:num>
  <w:num w:numId="5" w16cid:durableId="1538469712">
    <w:abstractNumId w:val="20"/>
  </w:num>
  <w:num w:numId="6" w16cid:durableId="26686878">
    <w:abstractNumId w:val="22"/>
  </w:num>
  <w:num w:numId="7" w16cid:durableId="1488549639">
    <w:abstractNumId w:val="10"/>
  </w:num>
  <w:num w:numId="8" w16cid:durableId="904218723">
    <w:abstractNumId w:val="19"/>
  </w:num>
  <w:num w:numId="9" w16cid:durableId="182478190">
    <w:abstractNumId w:val="3"/>
  </w:num>
  <w:num w:numId="10" w16cid:durableId="124009507">
    <w:abstractNumId w:val="11"/>
  </w:num>
  <w:num w:numId="11" w16cid:durableId="243687445">
    <w:abstractNumId w:val="7"/>
  </w:num>
  <w:num w:numId="12" w16cid:durableId="986086503">
    <w:abstractNumId w:val="21"/>
  </w:num>
  <w:num w:numId="13" w16cid:durableId="1829520982">
    <w:abstractNumId w:val="18"/>
  </w:num>
  <w:num w:numId="14" w16cid:durableId="152644615">
    <w:abstractNumId w:val="25"/>
  </w:num>
  <w:num w:numId="15" w16cid:durableId="804200639">
    <w:abstractNumId w:val="6"/>
  </w:num>
  <w:num w:numId="16" w16cid:durableId="47806954">
    <w:abstractNumId w:val="16"/>
  </w:num>
  <w:num w:numId="17" w16cid:durableId="415322481">
    <w:abstractNumId w:val="12"/>
  </w:num>
  <w:num w:numId="18" w16cid:durableId="98376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418014">
    <w:abstractNumId w:val="15"/>
  </w:num>
  <w:num w:numId="20" w16cid:durableId="31417351">
    <w:abstractNumId w:val="13"/>
  </w:num>
  <w:num w:numId="21" w16cid:durableId="1378580956">
    <w:abstractNumId w:val="23"/>
  </w:num>
  <w:num w:numId="22" w16cid:durableId="560946424">
    <w:abstractNumId w:val="1"/>
  </w:num>
  <w:num w:numId="23" w16cid:durableId="47413829">
    <w:abstractNumId w:val="0"/>
  </w:num>
  <w:num w:numId="24" w16cid:durableId="991713588">
    <w:abstractNumId w:val="5"/>
  </w:num>
  <w:num w:numId="25" w16cid:durableId="26223596">
    <w:abstractNumId w:val="9"/>
  </w:num>
  <w:num w:numId="26" w16cid:durableId="1115833956">
    <w:abstractNumId w:val="20"/>
  </w:num>
  <w:num w:numId="27" w16cid:durableId="809059612">
    <w:abstractNumId w:val="2"/>
  </w:num>
  <w:num w:numId="28" w16cid:durableId="208691626">
    <w:abstractNumId w:val="14"/>
  </w:num>
  <w:num w:numId="29" w16cid:durableId="18770384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2FA6"/>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04"/>
    <w:rsid w:val="0082621F"/>
    <w:rsid w:val="008323A1"/>
    <w:rsid w:val="0084093E"/>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6859"/>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74C2E"/>
    <w:rsid w:val="00C928F9"/>
    <w:rsid w:val="00C95B23"/>
    <w:rsid w:val="00C962BE"/>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C7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5489</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2026-06-05T08:17:00Z</dcterms:modified>
</cp:coreProperties>
</file>