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1E11179" w:rsidR="00C10E8B" w:rsidRPr="00DE02C5" w:rsidRDefault="00DE02C5" w:rsidP="00C10E8B">
      <w:pPr>
        <w:jc w:val="center"/>
        <w:rPr>
          <w:rFonts w:cs="Arial"/>
          <w:b/>
          <w:iCs/>
        </w:rPr>
      </w:pPr>
      <w:r w:rsidRPr="00DE02C5">
        <w:rPr>
          <w:rFonts w:cs="Arial"/>
          <w:b/>
          <w:iCs/>
        </w:rPr>
        <w:t>NRS15444 Grade VII</w:t>
      </w:r>
      <w:r>
        <w:rPr>
          <w:rFonts w:cs="Arial"/>
          <w:b/>
          <w:iCs/>
        </w:rPr>
        <w:t xml:space="preserve"> - </w:t>
      </w:r>
      <w:r w:rsidRPr="00DE02C5">
        <w:rPr>
          <w:rFonts w:cs="Arial"/>
          <w:b/>
          <w:iCs/>
        </w:rPr>
        <w:t>Order to Cash,</w:t>
      </w:r>
    </w:p>
    <w:p w14:paraId="67DB8D4F" w14:textId="0B90FBCF" w:rsidR="00DE02C5" w:rsidRPr="00DE02C5" w:rsidRDefault="00DE02C5" w:rsidP="00C10E8B">
      <w:pPr>
        <w:jc w:val="center"/>
        <w:rPr>
          <w:rFonts w:cs="Arial"/>
          <w:b/>
          <w:iCs/>
        </w:rPr>
      </w:pPr>
      <w:r w:rsidRPr="00DE02C5">
        <w:rPr>
          <w:rFonts w:cs="Arial"/>
          <w:b/>
          <w:iCs/>
        </w:rPr>
        <w:t>within Order to Cash (O2C), Finance Shared Services, National Finance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DE02C5">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DE02C5">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C767969" w14:textId="77777777" w:rsidR="000E4F47" w:rsidRDefault="00422BE8" w:rsidP="000E4F47">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690CF88" w:rsidR="006158B7" w:rsidRPr="000E4F47" w:rsidRDefault="003D7A6B" w:rsidP="000E4F47">
      <w:pPr>
        <w:numPr>
          <w:ilvl w:val="0"/>
          <w:numId w:val="2"/>
        </w:numPr>
        <w:jc w:val="both"/>
        <w:rPr>
          <w:rFonts w:cs="Arial"/>
          <w:sz w:val="16"/>
          <w:szCs w:val="16"/>
        </w:rPr>
      </w:pPr>
      <w:r w:rsidRPr="000E4F47">
        <w:rPr>
          <w:rFonts w:cs="Arial"/>
        </w:rPr>
        <w:t>The National Recruitment Service</w:t>
      </w:r>
      <w:r w:rsidR="006158B7" w:rsidRPr="000E4F47">
        <w:rPr>
          <w:rFonts w:cs="Arial"/>
        </w:rPr>
        <w:t xml:space="preserve"> can only accept complete applications received by the closing date and time</w:t>
      </w:r>
      <w:r w:rsidR="00340515" w:rsidRPr="000E4F47">
        <w:rPr>
          <w:rFonts w:cs="Arial"/>
        </w:rPr>
        <w:t xml:space="preserve"> of</w:t>
      </w:r>
      <w:r w:rsidR="00BE366C" w:rsidRPr="000E4F47">
        <w:rPr>
          <w:rFonts w:cs="Arial"/>
        </w:rPr>
        <w:t xml:space="preserve"> </w:t>
      </w:r>
      <w:r w:rsidR="000E4F47" w:rsidRPr="000E4F47">
        <w:rPr>
          <w:rFonts w:cs="Arial"/>
          <w:b/>
          <w:bCs/>
        </w:rPr>
        <w:t>Wednesday 1st of July 2026 at 12:00PM</w:t>
      </w:r>
      <w:r w:rsidR="00BE366C" w:rsidRPr="000E4F47">
        <w:rPr>
          <w:rFonts w:cs="Arial"/>
          <w:b/>
          <w:bCs/>
        </w:rPr>
        <w:t>.</w:t>
      </w:r>
      <w:r w:rsidR="00C95B23" w:rsidRPr="000E4F47">
        <w:rPr>
          <w:rFonts w:cs="Arial"/>
          <w:b/>
          <w:color w:val="FF0000"/>
        </w:rPr>
        <w:t xml:space="preserve">  </w:t>
      </w:r>
      <w:r w:rsidR="00C95B23" w:rsidRPr="000E4F47">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6514867E" w14:textId="017BD3BB" w:rsidR="003722EB" w:rsidRDefault="00E47641" w:rsidP="00DE02C5">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DE02C5" w:rsidRDefault="002807A0" w:rsidP="00176309">
      <w:pPr>
        <w:numPr>
          <w:ilvl w:val="0"/>
          <w:numId w:val="5"/>
        </w:numPr>
        <w:jc w:val="both"/>
        <w:rPr>
          <w:rFonts w:cs="Arial"/>
          <w:bCs/>
        </w:rPr>
      </w:pPr>
      <w:r w:rsidRPr="00DE02C5">
        <w:rPr>
          <w:rFonts w:cs="Arial"/>
          <w:bCs/>
        </w:rPr>
        <w:t>If there is an existing panel in place this may take precedence over the newly formed panel for this campaign</w:t>
      </w:r>
      <w:r w:rsidR="00CA03A6" w:rsidRPr="00DE02C5">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1634E9A"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0E4F47" w:rsidRPr="00DE02C5">
          <w:rPr>
            <w:rStyle w:val="Hyperlink"/>
            <w:rFonts w:cs="Arial"/>
            <w:b/>
            <w:bCs/>
            <w:color w:val="auto"/>
          </w:rPr>
          <w:t>recruitmanagement@hse.ie</w:t>
        </w:r>
      </w:hyperlink>
      <w:r w:rsidR="000E4F47">
        <w:t xml:space="preserve"> </w:t>
      </w:r>
      <w:r w:rsidRPr="00EE1267">
        <w:rPr>
          <w:iCs/>
        </w:rPr>
        <w:t xml:space="preserve">within </w:t>
      </w:r>
      <w:r w:rsidRPr="00EE1267">
        <w:rPr>
          <w:b/>
          <w:iCs/>
        </w:rPr>
        <w:t>5 working days</w:t>
      </w:r>
      <w:r w:rsidRPr="00EE1267">
        <w:rPr>
          <w:iCs/>
        </w:rPr>
        <w:t xml:space="preserve"> of receipt of a decision.</w:t>
      </w:r>
      <w:r w:rsidR="000E4F47">
        <w:rPr>
          <w:iCs/>
        </w:rPr>
        <w:t xml:space="preserve"> </w:t>
      </w:r>
      <w:r w:rsidR="000E4F47" w:rsidRPr="000E4F47">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826A4A6" w14:textId="77777777" w:rsidR="00F46E24" w:rsidRDefault="00F46E24" w:rsidP="006B269C">
      <w:pPr>
        <w:rPr>
          <w:rFonts w:cs="Arial"/>
          <w:b/>
          <w:bCs/>
          <w:iCs/>
          <w:color w:val="FF0000"/>
        </w:rPr>
      </w:pPr>
    </w:p>
    <w:p w14:paraId="0810F03B" w14:textId="77777777" w:rsidR="00041CA8" w:rsidRPr="007F36CF" w:rsidRDefault="00041CA8" w:rsidP="00041CA8">
      <w:pPr>
        <w:rPr>
          <w:rFonts w:cs="Arial"/>
          <w:b/>
          <w:color w:val="000000" w:themeColor="text1"/>
        </w:rPr>
      </w:pPr>
      <w:r w:rsidRPr="007F36CF">
        <w:rPr>
          <w:rFonts w:cs="Arial"/>
          <w:b/>
          <w:i/>
          <w:iCs/>
          <w:color w:val="000000" w:themeColor="text1"/>
        </w:rPr>
        <w:t xml:space="preserve">This campaign is confined to staff who are currently employed by </w:t>
      </w:r>
      <w:r w:rsidRPr="007F36CF">
        <w:rPr>
          <w:rFonts w:cs="Arial"/>
          <w:b/>
          <w:bCs/>
          <w:i/>
          <w:iCs/>
          <w:color w:val="000000" w:themeColor="text1"/>
        </w:rPr>
        <w:t>the HSE, TUSLA, other statutory health agencies*, or a body which provides services on behalf of the HSE under Section 38 of the Health Act 2004</w:t>
      </w:r>
      <w:r w:rsidRPr="007F36CF">
        <w:rPr>
          <w:rFonts w:cs="Arial"/>
          <w:b/>
          <w:i/>
          <w:iCs/>
          <w:color w:val="000000" w:themeColor="text1"/>
        </w:rPr>
        <w:t xml:space="preserve"> as per Workplace Relations Commission agreement - 161867</w:t>
      </w:r>
    </w:p>
    <w:p w14:paraId="0CDCCBB2" w14:textId="77777777" w:rsidR="00041CA8" w:rsidRPr="007F36CF" w:rsidRDefault="00041CA8" w:rsidP="00041CA8">
      <w:pPr>
        <w:rPr>
          <w:rFonts w:cs="Arial"/>
          <w:b/>
          <w:color w:val="000000" w:themeColor="text1"/>
        </w:rPr>
      </w:pPr>
    </w:p>
    <w:p w14:paraId="0D7F315A" w14:textId="77777777" w:rsidR="00041CA8" w:rsidRPr="007F36CF" w:rsidRDefault="00041CA8" w:rsidP="00041CA8">
      <w:pPr>
        <w:numPr>
          <w:ilvl w:val="1"/>
          <w:numId w:val="28"/>
        </w:numPr>
        <w:tabs>
          <w:tab w:val="num" w:pos="480"/>
        </w:tabs>
        <w:jc w:val="both"/>
        <w:rPr>
          <w:rFonts w:cs="Arial"/>
          <w:color w:val="000000" w:themeColor="text1"/>
        </w:rPr>
      </w:pPr>
      <w:r w:rsidRPr="007F36CF">
        <w:rPr>
          <w:rFonts w:cs="Arial"/>
          <w:color w:val="000000" w:themeColor="text1"/>
        </w:rPr>
        <w:t>Eligible applicants will be those who on the closing date for the competition:</w:t>
      </w:r>
    </w:p>
    <w:p w14:paraId="6394FA52" w14:textId="77777777" w:rsidR="00041CA8" w:rsidRPr="007F36CF" w:rsidRDefault="00041CA8" w:rsidP="00041CA8">
      <w:pPr>
        <w:ind w:left="360"/>
        <w:contextualSpacing/>
        <w:jc w:val="both"/>
        <w:rPr>
          <w:rFonts w:cs="Arial"/>
          <w:color w:val="000000" w:themeColor="text1"/>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7603"/>
      </w:tblGrid>
      <w:tr w:rsidR="00041CA8" w:rsidRPr="007F36CF" w14:paraId="6B3C44D3" w14:textId="77777777" w:rsidTr="00B7574E">
        <w:tc>
          <w:tcPr>
            <w:tcW w:w="1053" w:type="dxa"/>
            <w:tcBorders>
              <w:top w:val="nil"/>
              <w:left w:val="nil"/>
              <w:bottom w:val="nil"/>
              <w:right w:val="nil"/>
            </w:tcBorders>
          </w:tcPr>
          <w:p w14:paraId="65541792" w14:textId="77777777" w:rsidR="00041CA8" w:rsidRPr="007F36CF" w:rsidRDefault="00041CA8" w:rsidP="00B7574E">
            <w:pPr>
              <w:tabs>
                <w:tab w:val="center" w:pos="4320"/>
                <w:tab w:val="right" w:pos="8640"/>
              </w:tabs>
              <w:contextualSpacing/>
              <w:jc w:val="both"/>
              <w:rPr>
                <w:rFonts w:cs="Arial"/>
                <w:color w:val="000000" w:themeColor="text1"/>
              </w:rPr>
            </w:pPr>
          </w:p>
        </w:tc>
        <w:tc>
          <w:tcPr>
            <w:tcW w:w="7603" w:type="dxa"/>
            <w:tcBorders>
              <w:top w:val="nil"/>
              <w:left w:val="nil"/>
              <w:bottom w:val="nil"/>
              <w:right w:val="nil"/>
            </w:tcBorders>
          </w:tcPr>
          <w:p w14:paraId="66191893" w14:textId="77777777" w:rsidR="00041CA8" w:rsidRPr="007F36CF" w:rsidRDefault="00041CA8" w:rsidP="00B7574E">
            <w:pPr>
              <w:tabs>
                <w:tab w:val="center" w:pos="4320"/>
                <w:tab w:val="right" w:pos="8640"/>
              </w:tabs>
              <w:contextualSpacing/>
              <w:jc w:val="both"/>
              <w:rPr>
                <w:rFonts w:eastAsia="Calibri" w:cs="Arial"/>
                <w:iCs/>
                <w:color w:val="000000" w:themeColor="text1"/>
                <w:lang w:eastAsia="en-US"/>
              </w:rPr>
            </w:pPr>
            <w:r w:rsidRPr="007F36CF">
              <w:rPr>
                <w:rFonts w:cs="Arial"/>
                <w:color w:val="000000" w:themeColor="text1"/>
              </w:rPr>
              <w:t xml:space="preserve">Have satisfactory experience in an office under the HSE, TUSLA, </w:t>
            </w:r>
            <w:r w:rsidRPr="007F36CF">
              <w:rPr>
                <w:rFonts w:eastAsia="Calibri" w:cs="Arial"/>
                <w:iCs/>
                <w:color w:val="000000" w:themeColor="text1"/>
                <w:lang w:eastAsia="en-US"/>
              </w:rPr>
              <w:t>other statutory health agencies, or a body which provides services on behalf of the HSE under Section 38 of the Health Act 2004 at a level not lower than that of Grade IV (or equivalent)</w:t>
            </w:r>
          </w:p>
          <w:p w14:paraId="6BD0A5C1" w14:textId="77777777" w:rsidR="00041CA8" w:rsidRPr="007F36CF" w:rsidRDefault="00041CA8" w:rsidP="00B7574E">
            <w:pPr>
              <w:tabs>
                <w:tab w:val="center" w:pos="4320"/>
                <w:tab w:val="right" w:pos="8640"/>
              </w:tabs>
              <w:contextualSpacing/>
              <w:jc w:val="both"/>
              <w:rPr>
                <w:rFonts w:eastAsia="Calibri" w:cs="Arial"/>
                <w:iCs/>
                <w:color w:val="000000" w:themeColor="text1"/>
                <w:lang w:eastAsia="en-US"/>
              </w:rPr>
            </w:pPr>
          </w:p>
          <w:p w14:paraId="3E73BB99" w14:textId="77777777" w:rsidR="00041CA8" w:rsidRPr="007F36CF" w:rsidRDefault="00041CA8" w:rsidP="00B7574E">
            <w:pPr>
              <w:tabs>
                <w:tab w:val="center" w:pos="4320"/>
                <w:tab w:val="right" w:pos="8640"/>
              </w:tabs>
              <w:contextualSpacing/>
              <w:jc w:val="center"/>
              <w:rPr>
                <w:rFonts w:eastAsia="Calibri" w:cs="Arial"/>
                <w:iCs/>
                <w:color w:val="000000" w:themeColor="text1"/>
                <w:lang w:eastAsia="en-US"/>
              </w:rPr>
            </w:pPr>
            <w:r w:rsidRPr="007F36CF">
              <w:rPr>
                <w:rFonts w:eastAsia="Calibri" w:cs="Arial"/>
                <w:iCs/>
                <w:color w:val="000000" w:themeColor="text1"/>
                <w:lang w:eastAsia="en-US"/>
              </w:rPr>
              <w:t>and</w:t>
            </w:r>
          </w:p>
          <w:p w14:paraId="78F0B85E" w14:textId="77777777" w:rsidR="00041CA8" w:rsidRPr="007F36CF" w:rsidRDefault="00041CA8" w:rsidP="00B7574E">
            <w:pPr>
              <w:tabs>
                <w:tab w:val="center" w:pos="4320"/>
                <w:tab w:val="right" w:pos="8640"/>
              </w:tabs>
              <w:contextualSpacing/>
              <w:jc w:val="center"/>
              <w:rPr>
                <w:rFonts w:cs="Arial"/>
                <w:color w:val="000000" w:themeColor="text1"/>
              </w:rPr>
            </w:pPr>
          </w:p>
          <w:p w14:paraId="45DDDB8B" w14:textId="77777777" w:rsidR="00041CA8" w:rsidRPr="007F36CF" w:rsidRDefault="00041CA8" w:rsidP="00B7574E">
            <w:pPr>
              <w:tabs>
                <w:tab w:val="center" w:pos="4320"/>
                <w:tab w:val="right" w:pos="8640"/>
              </w:tabs>
              <w:contextualSpacing/>
              <w:jc w:val="both"/>
              <w:rPr>
                <w:rFonts w:cs="Arial"/>
                <w:color w:val="000000" w:themeColor="text1"/>
              </w:rPr>
            </w:pPr>
            <w:r w:rsidRPr="007F36CF">
              <w:rPr>
                <w:rFonts w:cs="Arial"/>
                <w:color w:val="000000" w:themeColor="text1"/>
              </w:rPr>
              <w:t xml:space="preserve">have not less than two years satisfactory experience either in that office or in an office at a level not lower than that of Clerical Officer in the HSE, TUSLA, </w:t>
            </w:r>
            <w:r w:rsidRPr="007F36CF">
              <w:rPr>
                <w:rFonts w:eastAsia="Calibri" w:cs="Arial"/>
                <w:iCs/>
                <w:color w:val="000000" w:themeColor="text1"/>
                <w:lang w:eastAsia="en-US"/>
              </w:rPr>
              <w:t>other statutory health agencies, or a body which provides services on behalf of the HSE under Section 38 of the Health Act 2004</w:t>
            </w:r>
          </w:p>
        </w:tc>
      </w:tr>
    </w:tbl>
    <w:p w14:paraId="022950FC" w14:textId="77777777" w:rsidR="00041CA8" w:rsidRPr="007F36CF" w:rsidRDefault="00041CA8" w:rsidP="00041CA8">
      <w:pPr>
        <w:tabs>
          <w:tab w:val="left" w:pos="1680"/>
        </w:tabs>
        <w:ind w:left="1418"/>
        <w:jc w:val="both"/>
        <w:rPr>
          <w:rFonts w:cs="Arial"/>
          <w:color w:val="000000" w:themeColor="text1"/>
        </w:rPr>
      </w:pPr>
    </w:p>
    <w:p w14:paraId="0614909E" w14:textId="77777777" w:rsidR="00041CA8" w:rsidRPr="007F36CF" w:rsidRDefault="00041CA8" w:rsidP="00041CA8">
      <w:pPr>
        <w:jc w:val="center"/>
        <w:rPr>
          <w:rFonts w:cs="Arial"/>
          <w:bCs/>
          <w:color w:val="000000" w:themeColor="text1"/>
        </w:rPr>
      </w:pPr>
      <w:r w:rsidRPr="007F36CF">
        <w:rPr>
          <w:rFonts w:cs="Arial"/>
          <w:bCs/>
          <w:color w:val="000000" w:themeColor="text1"/>
        </w:rPr>
        <w:t>and</w:t>
      </w:r>
    </w:p>
    <w:p w14:paraId="5DFCB24C" w14:textId="77777777" w:rsidR="00041CA8" w:rsidRPr="007F36CF" w:rsidRDefault="00041CA8" w:rsidP="00041CA8">
      <w:pPr>
        <w:jc w:val="center"/>
        <w:rPr>
          <w:rFonts w:cs="Arial"/>
          <w:bCs/>
          <w:color w:val="000000" w:themeColor="text1"/>
        </w:rPr>
      </w:pPr>
    </w:p>
    <w:p w14:paraId="42510795" w14:textId="77777777" w:rsidR="00041CA8" w:rsidRPr="007F36CF" w:rsidRDefault="00041CA8" w:rsidP="00041CA8">
      <w:pPr>
        <w:pStyle w:val="ListParagraph"/>
        <w:numPr>
          <w:ilvl w:val="1"/>
          <w:numId w:val="28"/>
        </w:numPr>
        <w:contextualSpacing w:val="0"/>
        <w:jc w:val="both"/>
        <w:rPr>
          <w:rFonts w:ascii="Arial" w:hAnsi="Arial" w:cs="Arial"/>
          <w:color w:val="000000" w:themeColor="text1"/>
        </w:rPr>
      </w:pPr>
      <w:r w:rsidRPr="007F36CF">
        <w:rPr>
          <w:rFonts w:ascii="Arial" w:hAnsi="Arial" w:cs="Arial"/>
          <w:color w:val="000000" w:themeColor="text1"/>
        </w:rPr>
        <w:t xml:space="preserve">Candidates must possess the requisite knowledge and ability, including a high standard of suitability, for the proper discharge of the office. </w:t>
      </w:r>
    </w:p>
    <w:p w14:paraId="399CC4F5" w14:textId="77777777" w:rsidR="00041CA8" w:rsidRPr="007F36CF" w:rsidRDefault="00041CA8" w:rsidP="00041CA8">
      <w:pPr>
        <w:tabs>
          <w:tab w:val="num" w:pos="851"/>
        </w:tabs>
        <w:rPr>
          <w:rFonts w:cs="Arial"/>
          <w:color w:val="000000" w:themeColor="text1"/>
        </w:rPr>
      </w:pPr>
    </w:p>
    <w:p w14:paraId="4E3CBF13" w14:textId="77777777" w:rsidR="00041CA8" w:rsidRPr="007F36CF" w:rsidRDefault="00041CA8" w:rsidP="00041CA8">
      <w:pPr>
        <w:jc w:val="both"/>
        <w:rPr>
          <w:rFonts w:cs="Arial"/>
          <w:b/>
          <w:color w:val="000000" w:themeColor="text1"/>
        </w:rPr>
      </w:pPr>
    </w:p>
    <w:p w14:paraId="0B7B0E1A" w14:textId="77777777" w:rsidR="00041CA8" w:rsidRPr="007F36CF" w:rsidRDefault="00041CA8" w:rsidP="00041CA8">
      <w:pPr>
        <w:jc w:val="both"/>
        <w:rPr>
          <w:rFonts w:cs="Arial"/>
          <w:b/>
          <w:color w:val="000000" w:themeColor="text1"/>
        </w:rPr>
      </w:pPr>
      <w:r w:rsidRPr="007F36CF">
        <w:rPr>
          <w:rFonts w:cs="Arial"/>
          <w:b/>
          <w:color w:val="000000" w:themeColor="text1"/>
        </w:rPr>
        <w:t>Health</w:t>
      </w:r>
    </w:p>
    <w:p w14:paraId="0AD8B8E4" w14:textId="77777777" w:rsidR="00041CA8" w:rsidRPr="007F36CF" w:rsidRDefault="00041CA8" w:rsidP="00041CA8">
      <w:pPr>
        <w:jc w:val="both"/>
        <w:rPr>
          <w:rFonts w:cs="Arial"/>
          <w:color w:val="000000" w:themeColor="text1"/>
        </w:rPr>
      </w:pPr>
      <w:r w:rsidRPr="007F36CF">
        <w:rPr>
          <w:rFonts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739B435" w14:textId="77777777" w:rsidR="00041CA8" w:rsidRPr="007F36CF" w:rsidRDefault="00041CA8" w:rsidP="00041CA8">
      <w:pPr>
        <w:jc w:val="both"/>
        <w:rPr>
          <w:rFonts w:cs="Arial"/>
          <w:color w:val="000000" w:themeColor="text1"/>
        </w:rPr>
      </w:pPr>
    </w:p>
    <w:p w14:paraId="3BC323A1" w14:textId="77777777" w:rsidR="00041CA8" w:rsidRPr="007F36CF" w:rsidRDefault="00041CA8" w:rsidP="00041CA8">
      <w:pPr>
        <w:ind w:right="-766"/>
        <w:jc w:val="both"/>
        <w:rPr>
          <w:rFonts w:cs="Arial"/>
          <w:iCs/>
          <w:color w:val="000000" w:themeColor="text1"/>
        </w:rPr>
      </w:pPr>
      <w:r w:rsidRPr="007F36CF">
        <w:rPr>
          <w:rFonts w:cs="Arial"/>
          <w:b/>
          <w:bCs/>
          <w:color w:val="000000" w:themeColor="text1"/>
        </w:rPr>
        <w:t>Character</w:t>
      </w:r>
    </w:p>
    <w:p w14:paraId="483AB12D" w14:textId="77777777" w:rsidR="00041CA8" w:rsidRPr="007F36CF" w:rsidRDefault="00041CA8" w:rsidP="00041CA8">
      <w:pPr>
        <w:ind w:right="-766"/>
        <w:jc w:val="both"/>
        <w:rPr>
          <w:rFonts w:cs="Arial"/>
          <w:color w:val="000000" w:themeColor="text1"/>
        </w:rPr>
      </w:pPr>
      <w:r w:rsidRPr="007F36CF">
        <w:rPr>
          <w:rFonts w:cs="Arial"/>
          <w:color w:val="000000" w:themeColor="text1"/>
        </w:rPr>
        <w:t>Each candidate for and any person holding the office must be of good character.</w:t>
      </w:r>
    </w:p>
    <w:p w14:paraId="0EABF573" w14:textId="77777777" w:rsidR="00041CA8" w:rsidRPr="007F36CF" w:rsidRDefault="00041CA8" w:rsidP="00041CA8">
      <w:pPr>
        <w:pStyle w:val="Standard"/>
        <w:tabs>
          <w:tab w:val="left" w:pos="720"/>
        </w:tabs>
        <w:rPr>
          <w:rFonts w:ascii="Arial" w:hAnsi="Arial" w:cs="Arial"/>
          <w:b/>
          <w:bCs/>
          <w:sz w:val="20"/>
          <w:szCs w:val="20"/>
          <w:u w:val="single"/>
          <w:shd w:val="clear" w:color="auto" w:fill="FFFFFF"/>
        </w:rPr>
      </w:pPr>
    </w:p>
    <w:p w14:paraId="75F3F80B" w14:textId="77777777" w:rsidR="00041CA8" w:rsidRPr="007F36CF" w:rsidRDefault="00041CA8" w:rsidP="00041CA8">
      <w:pPr>
        <w:autoSpaceDE w:val="0"/>
        <w:autoSpaceDN w:val="0"/>
        <w:adjustRightInd w:val="0"/>
        <w:spacing w:line="240" w:lineRule="atLeast"/>
        <w:rPr>
          <w:rFonts w:cs="Arial"/>
          <w:i/>
          <w:iCs/>
          <w:color w:val="000000" w:themeColor="text1"/>
        </w:rPr>
      </w:pPr>
      <w:r w:rsidRPr="007F36CF">
        <w:rPr>
          <w:rFonts w:cs="Arial"/>
          <w:i/>
          <w:iCs/>
          <w:color w:val="000000" w:themeColor="text1"/>
        </w:rPr>
        <w:t xml:space="preserve">* A list of ‘other statutory health agencies’ can be found </w:t>
      </w:r>
      <w:hyperlink r:id="rId19" w:history="1">
        <w:r w:rsidRPr="007F36CF">
          <w:rPr>
            <w:rStyle w:val="Hyperlink"/>
            <w:rFonts w:cs="Arial"/>
            <w:i/>
            <w:iCs/>
            <w:color w:val="000000" w:themeColor="text1"/>
            <w:u w:val="none"/>
          </w:rPr>
          <w:t>here</w:t>
        </w:r>
      </w:hyperlink>
      <w:r w:rsidRPr="007F36CF">
        <w:rPr>
          <w:rFonts w:cs="Arial"/>
          <w:i/>
          <w:iCs/>
          <w:color w:val="000000" w:themeColor="text1"/>
        </w:rPr>
        <w:t xml:space="preserve">. </w:t>
      </w:r>
    </w:p>
    <w:p w14:paraId="5FCE4A9A" w14:textId="77777777" w:rsidR="00041CA8" w:rsidRDefault="00041CA8" w:rsidP="006B269C">
      <w:pPr>
        <w:rPr>
          <w:rFonts w:cs="Arial"/>
          <w:b/>
          <w:bCs/>
          <w:iCs/>
          <w:color w:val="FF0000"/>
        </w:rPr>
      </w:pPr>
    </w:p>
    <w:p w14:paraId="52663BD4" w14:textId="43EF32F4" w:rsidR="00041CA8" w:rsidRPr="00041CA8" w:rsidRDefault="00041CA8" w:rsidP="006B269C">
      <w:pPr>
        <w:rPr>
          <w:rFonts w:cs="Arial"/>
          <w:b/>
          <w:bCs/>
          <w:iCs/>
        </w:rPr>
      </w:pPr>
      <w:r w:rsidRPr="00041CA8">
        <w:rPr>
          <w:rFonts w:cs="Arial"/>
          <w:b/>
          <w:bCs/>
          <w:iCs/>
        </w:rPr>
        <w:t>Post Specific Requirements</w:t>
      </w:r>
    </w:p>
    <w:p w14:paraId="2D875B68" w14:textId="77777777" w:rsidR="00F46E24" w:rsidRDefault="00F46E24" w:rsidP="006B269C">
      <w:pPr>
        <w:rPr>
          <w:rFonts w:cs="Arial"/>
          <w:b/>
          <w:bCs/>
          <w:iCs/>
          <w:color w:val="FF0000"/>
        </w:rPr>
      </w:pPr>
    </w:p>
    <w:p w14:paraId="1AD8C528" w14:textId="0D0E5A30" w:rsidR="00041CA8" w:rsidRPr="007F36CF" w:rsidRDefault="00041CA8" w:rsidP="00041CA8">
      <w:pPr>
        <w:numPr>
          <w:ilvl w:val="0"/>
          <w:numId w:val="29"/>
        </w:numPr>
        <w:spacing w:before="120"/>
        <w:ind w:left="357" w:hanging="357"/>
        <w:jc w:val="both"/>
        <w:rPr>
          <w:rFonts w:cs="Arial"/>
          <w:iCs/>
        </w:rPr>
      </w:pPr>
      <w:r w:rsidRPr="007F36CF">
        <w:rPr>
          <w:rFonts w:cs="Arial"/>
        </w:rPr>
        <w:t>Significant experience of working with core financial and accounts receivable systems within a computerised organisation with multiple stakeholders</w:t>
      </w:r>
      <w:r>
        <w:rPr>
          <w:rFonts w:cs="Arial"/>
        </w:rPr>
        <w:t>.</w:t>
      </w:r>
    </w:p>
    <w:p w14:paraId="091040FD" w14:textId="62D8ED9C" w:rsidR="00041CA8" w:rsidRPr="007F36CF" w:rsidRDefault="00041CA8" w:rsidP="00041CA8">
      <w:pPr>
        <w:numPr>
          <w:ilvl w:val="0"/>
          <w:numId w:val="29"/>
        </w:numPr>
        <w:spacing w:before="120"/>
        <w:ind w:left="357" w:hanging="357"/>
        <w:jc w:val="both"/>
        <w:rPr>
          <w:rFonts w:cs="Arial"/>
          <w:b/>
          <w:iCs/>
          <w:u w:val="single"/>
        </w:rPr>
      </w:pPr>
      <w:r w:rsidRPr="007F36CF">
        <w:rPr>
          <w:rFonts w:cs="Arial"/>
        </w:rPr>
        <w:t>Significant experience</w:t>
      </w:r>
      <w:r w:rsidRPr="007F36CF">
        <w:rPr>
          <w:rFonts w:cs="Arial"/>
          <w:iCs/>
        </w:rPr>
        <w:t xml:space="preserve"> of regular reporting and analysis of Financial Data while working within tight deadlines</w:t>
      </w:r>
      <w:r>
        <w:rPr>
          <w:rFonts w:cs="Arial"/>
          <w:iCs/>
        </w:rPr>
        <w:t>.</w:t>
      </w:r>
    </w:p>
    <w:p w14:paraId="4F99D8E4" w14:textId="726969A2" w:rsidR="00041CA8" w:rsidRPr="007F36CF" w:rsidRDefault="00041CA8" w:rsidP="00041CA8">
      <w:pPr>
        <w:numPr>
          <w:ilvl w:val="0"/>
          <w:numId w:val="29"/>
        </w:numPr>
        <w:spacing w:before="120"/>
        <w:ind w:left="357" w:hanging="357"/>
        <w:jc w:val="both"/>
        <w:rPr>
          <w:rFonts w:cs="Arial"/>
          <w:b/>
          <w:iCs/>
          <w:u w:val="single"/>
        </w:rPr>
      </w:pPr>
      <w:r w:rsidRPr="007F36CF">
        <w:rPr>
          <w:rFonts w:cs="Arial"/>
          <w:iCs/>
        </w:rPr>
        <w:t>Significant experience of managing staff</w:t>
      </w:r>
      <w:r>
        <w:rPr>
          <w:rFonts w:cs="Arial"/>
          <w:iCs/>
        </w:rPr>
        <w:t>.</w:t>
      </w:r>
    </w:p>
    <w:p w14:paraId="5C227865" w14:textId="7C1C0178" w:rsidR="00041CA8" w:rsidRPr="007F36CF" w:rsidRDefault="00041CA8" w:rsidP="00041CA8">
      <w:pPr>
        <w:numPr>
          <w:ilvl w:val="0"/>
          <w:numId w:val="29"/>
        </w:numPr>
        <w:spacing w:before="120"/>
        <w:ind w:left="357" w:hanging="357"/>
        <w:jc w:val="both"/>
        <w:rPr>
          <w:rFonts w:cs="Arial"/>
          <w:iCs/>
        </w:rPr>
      </w:pPr>
      <w:r w:rsidRPr="007F36CF">
        <w:rPr>
          <w:rFonts w:cs="Arial"/>
        </w:rPr>
        <w:t>Significant experience</w:t>
      </w:r>
      <w:r w:rsidRPr="007F36CF">
        <w:rPr>
          <w:rFonts w:cs="Arial"/>
          <w:iCs/>
        </w:rPr>
        <w:t xml:space="preserve"> of working in a busy Finance Department with competing priorities and deadlines while ensuring compliance and accuracy</w:t>
      </w:r>
      <w:r>
        <w:rPr>
          <w:rFonts w:cs="Arial"/>
          <w:iCs/>
        </w:rPr>
        <w:t>.</w:t>
      </w:r>
    </w:p>
    <w:p w14:paraId="3171A52A" w14:textId="6E2027FE" w:rsidR="00041CA8" w:rsidRPr="007F36CF" w:rsidRDefault="00041CA8" w:rsidP="00041CA8">
      <w:pPr>
        <w:numPr>
          <w:ilvl w:val="0"/>
          <w:numId w:val="29"/>
        </w:numPr>
        <w:spacing w:before="120"/>
        <w:ind w:left="357" w:hanging="357"/>
        <w:jc w:val="both"/>
        <w:rPr>
          <w:rFonts w:cs="Arial"/>
          <w:iCs/>
        </w:rPr>
      </w:pPr>
      <w:r w:rsidRPr="007F36CF">
        <w:rPr>
          <w:rFonts w:cs="Arial"/>
          <w:iCs/>
        </w:rPr>
        <w:t>Experience and proficiency in the use of Microsoft Office suite of applications including advanced competency in Excel</w:t>
      </w:r>
      <w:r>
        <w:rPr>
          <w:rFonts w:cs="Arial"/>
          <w:iCs/>
        </w:rPr>
        <w:t>.</w:t>
      </w:r>
    </w:p>
    <w:p w14:paraId="6FDA1A5D" w14:textId="5B8346C2" w:rsidR="00041CA8" w:rsidRPr="007F36CF" w:rsidRDefault="00041CA8" w:rsidP="00041CA8">
      <w:pPr>
        <w:numPr>
          <w:ilvl w:val="0"/>
          <w:numId w:val="29"/>
        </w:numPr>
        <w:spacing w:before="120"/>
        <w:ind w:left="357" w:hanging="357"/>
        <w:jc w:val="both"/>
        <w:rPr>
          <w:rFonts w:cs="Arial"/>
          <w:iCs/>
        </w:rPr>
      </w:pPr>
      <w:r w:rsidRPr="007F36CF">
        <w:rPr>
          <w:rFonts w:cs="Arial"/>
          <w:iCs/>
        </w:rPr>
        <w:t>Experience of leading a team through Organisational Change processes</w:t>
      </w:r>
      <w:r>
        <w:rPr>
          <w:rFonts w:cs="Arial"/>
          <w:iCs/>
        </w:rPr>
        <w:t>.</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041CA8">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041CA8">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041CA8">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041CA8">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041CA8">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B45A1B9"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CB2A" w14:textId="77777777" w:rsidR="005A2118" w:rsidRDefault="005A2118">
      <w:r>
        <w:separator/>
      </w:r>
    </w:p>
  </w:endnote>
  <w:endnote w:type="continuationSeparator" w:id="0">
    <w:p w14:paraId="33ECC313" w14:textId="77777777" w:rsidR="005A2118" w:rsidRDefault="005A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22EB6291" w:rsidR="00CA4FC3" w:rsidRDefault="00DE02C5" w:rsidP="00BE366C">
    <w:pPr>
      <w:pStyle w:val="Footer"/>
      <w:tabs>
        <w:tab w:val="left" w:pos="1290"/>
      </w:tabs>
      <w:rPr>
        <w:rFonts w:ascii="Arial" w:hAnsi="Arial" w:cs="Arial"/>
        <w:sz w:val="20"/>
      </w:rPr>
    </w:pPr>
    <w:r>
      <w:rPr>
        <w:rFonts w:ascii="Arial" w:hAnsi="Arial" w:cs="Arial"/>
        <w:iCs/>
        <w:sz w:val="20"/>
        <w:lang w:eastAsia="en-GB"/>
      </w:rPr>
      <w:t>NRS15444 Grade VII - Order to Cash</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313D4" w14:textId="77777777" w:rsidR="005A2118" w:rsidRDefault="005A2118">
      <w:r>
        <w:separator/>
      </w:r>
    </w:p>
  </w:footnote>
  <w:footnote w:type="continuationSeparator" w:id="0">
    <w:p w14:paraId="6AEA8DA2" w14:textId="77777777" w:rsidR="005A2118" w:rsidRDefault="005A2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A752EDE"/>
    <w:multiLevelType w:val="hybridMultilevel"/>
    <w:tmpl w:val="C92E5EEE"/>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24"/>
        <w:szCs w:val="18"/>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01503"/>
    <w:multiLevelType w:val="hybridMultilevel"/>
    <w:tmpl w:val="A2A8A0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7"/>
  </w:num>
  <w:num w:numId="4" w16cid:durableId="494228151">
    <w:abstractNumId w:val="1"/>
  </w:num>
  <w:num w:numId="5" w16cid:durableId="671448087">
    <w:abstractNumId w:val="19"/>
  </w:num>
  <w:num w:numId="6" w16cid:durableId="149836023">
    <w:abstractNumId w:val="22"/>
  </w:num>
  <w:num w:numId="7" w16cid:durableId="494804118">
    <w:abstractNumId w:val="9"/>
  </w:num>
  <w:num w:numId="8" w16cid:durableId="13851156">
    <w:abstractNumId w:val="18"/>
  </w:num>
  <w:num w:numId="9" w16cid:durableId="1351879864">
    <w:abstractNumId w:val="3"/>
  </w:num>
  <w:num w:numId="10" w16cid:durableId="197278774">
    <w:abstractNumId w:val="10"/>
  </w:num>
  <w:num w:numId="11" w16cid:durableId="10760393">
    <w:abstractNumId w:val="6"/>
  </w:num>
  <w:num w:numId="12" w16cid:durableId="706218610">
    <w:abstractNumId w:val="21"/>
  </w:num>
  <w:num w:numId="13" w16cid:durableId="1284188743">
    <w:abstractNumId w:val="17"/>
  </w:num>
  <w:num w:numId="14" w16cid:durableId="139228434">
    <w:abstractNumId w:val="25"/>
  </w:num>
  <w:num w:numId="15" w16cid:durableId="2053188870">
    <w:abstractNumId w:val="5"/>
  </w:num>
  <w:num w:numId="16" w16cid:durableId="1302921938">
    <w:abstractNumId w:val="15"/>
  </w:num>
  <w:num w:numId="17" w16cid:durableId="1095712768">
    <w:abstractNumId w:val="11"/>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2"/>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19"/>
  </w:num>
  <w:num w:numId="27" w16cid:durableId="343047890">
    <w:abstractNumId w:val="2"/>
  </w:num>
  <w:num w:numId="28" w16cid:durableId="589116743">
    <w:abstractNumId w:val="13"/>
  </w:num>
  <w:num w:numId="29" w16cid:durableId="2020304315">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1CA8"/>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4F47"/>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2118"/>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1D32"/>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4F0"/>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02C5"/>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1FDB"/>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Standard">
    <w:name w:val="Standard"/>
    <w:rsid w:val="00041CA8"/>
    <w:pPr>
      <w:suppressAutoHyphens/>
      <w:autoSpaceDN w:val="0"/>
    </w:pPr>
    <w:rPr>
      <w:rFonts w:ascii="Verdana" w:hAnsi="Verdana" w:cs="Verdana"/>
      <w:color w:val="000000"/>
      <w:kern w:val="3"/>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5492</Words>
  <Characters>31307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36726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2026-06-09T11:19:00Z</dcterms:created>
  <dcterms:modified xsi:type="dcterms:W3CDTF">2026-06-11T08:45:00Z</dcterms:modified>
</cp:coreProperties>
</file>