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49" w:rsidRDefault="00FF6249" w:rsidP="00FF6249">
      <w:pPr>
        <w:pStyle w:val="Footer"/>
        <w:rPr>
          <w:rFonts w:ascii="Arial" w:hAnsi="Arial" w:cs="Arial"/>
          <w:sz w:val="16"/>
          <w:szCs w:val="16"/>
        </w:rPr>
      </w:pPr>
    </w:p>
    <w:p w:rsidR="00FF6249" w:rsidRPr="00835326" w:rsidRDefault="00FF6249" w:rsidP="00FF6249">
      <w:pPr>
        <w:spacing w:line="276" w:lineRule="auto"/>
        <w:rPr>
          <w:bCs/>
          <w:sz w:val="22"/>
          <w:szCs w:val="22"/>
        </w:rPr>
      </w:pPr>
    </w:p>
    <w:p w:rsidR="00FF6249" w:rsidRPr="00835326" w:rsidRDefault="00FF6249" w:rsidP="00FF6249">
      <w:pPr>
        <w:jc w:val="right"/>
        <w:rPr>
          <w:b/>
          <w:color w:val="FF0000"/>
          <w:sz w:val="22"/>
          <w:szCs w:val="22"/>
        </w:rPr>
      </w:pPr>
    </w:p>
    <w:p w:rsidR="00FF6249" w:rsidRPr="00B86ED0" w:rsidRDefault="00FF6249" w:rsidP="00FF6249">
      <w:pPr>
        <w:jc w:val="right"/>
        <w:rPr>
          <w:b/>
          <w:sz w:val="22"/>
          <w:szCs w:val="22"/>
        </w:rPr>
      </w:pPr>
      <w:r w:rsidRPr="00835326">
        <w:rPr>
          <w:noProof/>
          <w:color w:val="000099"/>
          <w:sz w:val="22"/>
          <w:szCs w:val="22"/>
          <w:lang w:val="en-IE"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835326">
        <w:rPr>
          <w:noProof/>
          <w:color w:val="000099"/>
          <w:sz w:val="22"/>
          <w:szCs w:val="22"/>
          <w:lang w:val="en-IE" w:eastAsia="en-IE"/>
        </w:rPr>
        <w:tab/>
      </w:r>
      <w:r w:rsidRPr="00835326">
        <w:rPr>
          <w:noProof/>
          <w:color w:val="000099"/>
          <w:sz w:val="22"/>
          <w:szCs w:val="22"/>
          <w:lang w:val="en-IE" w:eastAsia="en-IE"/>
        </w:rPr>
        <w:tab/>
      </w:r>
      <w:r w:rsidRPr="00835326">
        <w:rPr>
          <w:noProof/>
          <w:color w:val="000099"/>
          <w:sz w:val="22"/>
          <w:szCs w:val="22"/>
          <w:lang w:val="en-IE" w:eastAsia="en-IE"/>
        </w:rPr>
        <w:tab/>
      </w:r>
      <w:r w:rsidRPr="00835326">
        <w:rPr>
          <w:noProof/>
          <w:color w:val="000099"/>
          <w:sz w:val="22"/>
          <w:szCs w:val="22"/>
          <w:lang w:val="en-IE" w:eastAsia="en-IE"/>
        </w:rPr>
        <w:tab/>
      </w:r>
      <w:r w:rsidRPr="00835326">
        <w:rPr>
          <w:noProof/>
          <w:color w:val="000099"/>
          <w:sz w:val="22"/>
          <w:szCs w:val="22"/>
          <w:lang w:val="en-IE" w:eastAsia="en-IE"/>
        </w:rPr>
        <w:tab/>
      </w:r>
      <w:r w:rsidRPr="00835326">
        <w:rPr>
          <w:noProof/>
          <w:color w:val="000099"/>
          <w:sz w:val="22"/>
          <w:szCs w:val="22"/>
          <w:lang w:val="en-IE" w:eastAsia="en-IE"/>
        </w:rPr>
        <w:tab/>
      </w:r>
      <w:r w:rsidRPr="00835326">
        <w:rPr>
          <w:noProof/>
          <w:color w:val="000099"/>
          <w:sz w:val="22"/>
          <w:szCs w:val="22"/>
          <w:lang w:val="en-IE" w:eastAsia="en-IE"/>
        </w:rPr>
        <w:tab/>
      </w:r>
      <w:r w:rsidRPr="00B86ED0">
        <w:rPr>
          <w:b/>
          <w:iCs/>
          <w:sz w:val="22"/>
          <w:szCs w:val="22"/>
        </w:rPr>
        <w:t>Consultant General Adult Psychiatrist</w:t>
      </w:r>
    </w:p>
    <w:p w:rsidR="00FF6249" w:rsidRPr="00B86ED0" w:rsidRDefault="00FF6249" w:rsidP="00FF6249">
      <w:pPr>
        <w:jc w:val="right"/>
        <w:rPr>
          <w:b/>
          <w:sz w:val="22"/>
          <w:szCs w:val="22"/>
        </w:rPr>
      </w:pPr>
      <w:r w:rsidRPr="00B86ED0">
        <w:rPr>
          <w:b/>
          <w:sz w:val="22"/>
          <w:szCs w:val="22"/>
        </w:rPr>
        <w:t>Job Specification, Terms and Conditions</w:t>
      </w:r>
    </w:p>
    <w:p w:rsidR="00FF6249" w:rsidRPr="00835326" w:rsidRDefault="00FF6249" w:rsidP="00FF6249">
      <w:pPr>
        <w:jc w:val="center"/>
        <w:rPr>
          <w:b/>
          <w:color w:val="0000FF"/>
          <w:sz w:val="22"/>
          <w:szCs w:val="22"/>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8147"/>
      </w:tblGrid>
      <w:tr w:rsidR="00FF6249" w:rsidRPr="00835326" w:rsidTr="00532894">
        <w:tc>
          <w:tcPr>
            <w:tcW w:w="2172" w:type="dxa"/>
          </w:tcPr>
          <w:p w:rsidR="00FF6249" w:rsidRPr="00E1165C" w:rsidRDefault="00FF6249" w:rsidP="00532894">
            <w:pPr>
              <w:rPr>
                <w:b/>
                <w:bCs/>
                <w:sz w:val="22"/>
                <w:szCs w:val="22"/>
              </w:rPr>
            </w:pPr>
            <w:r w:rsidRPr="00E1165C">
              <w:rPr>
                <w:b/>
                <w:bCs/>
                <w:sz w:val="22"/>
                <w:szCs w:val="22"/>
              </w:rPr>
              <w:t>Job Title and Grade</w:t>
            </w:r>
          </w:p>
        </w:tc>
        <w:tc>
          <w:tcPr>
            <w:tcW w:w="8160" w:type="dxa"/>
          </w:tcPr>
          <w:p w:rsidR="00FF6249" w:rsidRPr="00E1165C" w:rsidRDefault="00DF12E7" w:rsidP="00532894">
            <w:pPr>
              <w:rPr>
                <w:b/>
                <w:iCs/>
                <w:sz w:val="22"/>
                <w:szCs w:val="22"/>
              </w:rPr>
            </w:pPr>
            <w:r>
              <w:rPr>
                <w:b/>
                <w:iCs/>
                <w:sz w:val="22"/>
                <w:szCs w:val="22"/>
              </w:rPr>
              <w:t xml:space="preserve">Temporary </w:t>
            </w:r>
            <w:r w:rsidR="00FF6249" w:rsidRPr="00E1165C">
              <w:rPr>
                <w:b/>
                <w:iCs/>
                <w:sz w:val="22"/>
                <w:szCs w:val="22"/>
              </w:rPr>
              <w:t>Consultant General Adult Psychiatrist SI Substance Misuse</w:t>
            </w:r>
          </w:p>
        </w:tc>
      </w:tr>
      <w:tr w:rsidR="00FF6249" w:rsidRPr="00835326" w:rsidTr="00532894">
        <w:tc>
          <w:tcPr>
            <w:tcW w:w="2172" w:type="dxa"/>
          </w:tcPr>
          <w:p w:rsidR="00FF6249" w:rsidRPr="00E1165C" w:rsidRDefault="00FF6249" w:rsidP="00532894">
            <w:pPr>
              <w:rPr>
                <w:b/>
                <w:bCs/>
                <w:sz w:val="22"/>
                <w:szCs w:val="22"/>
              </w:rPr>
            </w:pPr>
            <w:r w:rsidRPr="00E1165C">
              <w:rPr>
                <w:b/>
                <w:bCs/>
                <w:sz w:val="22"/>
                <w:szCs w:val="22"/>
              </w:rPr>
              <w:t>Competition Reference</w:t>
            </w:r>
          </w:p>
        </w:tc>
        <w:tc>
          <w:tcPr>
            <w:tcW w:w="8160" w:type="dxa"/>
          </w:tcPr>
          <w:p w:rsidR="00FF6249" w:rsidRPr="00E1165C" w:rsidRDefault="000952AD" w:rsidP="00532894">
            <w:pPr>
              <w:jc w:val="both"/>
              <w:rPr>
                <w:iCs/>
                <w:sz w:val="22"/>
                <w:szCs w:val="22"/>
              </w:rPr>
            </w:pPr>
            <w:r>
              <w:rPr>
                <w:iCs/>
                <w:sz w:val="22"/>
                <w:szCs w:val="22"/>
              </w:rPr>
              <w:t>PSYCHDD25</w:t>
            </w:r>
          </w:p>
        </w:tc>
      </w:tr>
      <w:tr w:rsidR="00FF6249" w:rsidRPr="00835326" w:rsidTr="00532894">
        <w:tc>
          <w:tcPr>
            <w:tcW w:w="2172" w:type="dxa"/>
          </w:tcPr>
          <w:p w:rsidR="00FF6249" w:rsidRPr="00E1165C" w:rsidRDefault="00FF6249" w:rsidP="00532894">
            <w:pPr>
              <w:rPr>
                <w:b/>
                <w:bCs/>
                <w:sz w:val="22"/>
                <w:szCs w:val="22"/>
              </w:rPr>
            </w:pPr>
            <w:r w:rsidRPr="00E1165C">
              <w:rPr>
                <w:b/>
                <w:bCs/>
                <w:sz w:val="22"/>
                <w:szCs w:val="22"/>
              </w:rPr>
              <w:t>Closing Date</w:t>
            </w:r>
          </w:p>
          <w:p w:rsidR="00FF6249" w:rsidRPr="00E1165C" w:rsidRDefault="00FF6249" w:rsidP="00532894">
            <w:pPr>
              <w:rPr>
                <w:b/>
                <w:bCs/>
                <w:sz w:val="22"/>
                <w:szCs w:val="22"/>
              </w:rPr>
            </w:pPr>
          </w:p>
        </w:tc>
        <w:tc>
          <w:tcPr>
            <w:tcW w:w="8160" w:type="dxa"/>
          </w:tcPr>
          <w:p w:rsidR="00FF6249" w:rsidRPr="00E1165C" w:rsidRDefault="00055FC7" w:rsidP="00532894">
            <w:pPr>
              <w:jc w:val="both"/>
              <w:rPr>
                <w:iCs/>
                <w:sz w:val="22"/>
                <w:szCs w:val="22"/>
              </w:rPr>
            </w:pPr>
            <w:r>
              <w:rPr>
                <w:iCs/>
                <w:sz w:val="22"/>
                <w:szCs w:val="22"/>
              </w:rPr>
              <w:t>Friday 19.12.2025</w:t>
            </w:r>
            <w:bookmarkStart w:id="0" w:name="_GoBack"/>
            <w:bookmarkEnd w:id="0"/>
            <w:r>
              <w:rPr>
                <w:iCs/>
                <w:sz w:val="22"/>
                <w:szCs w:val="22"/>
              </w:rPr>
              <w:t xml:space="preserve"> @ 2</w:t>
            </w:r>
            <w:r w:rsidR="00EA2171">
              <w:rPr>
                <w:iCs/>
                <w:sz w:val="22"/>
                <w:szCs w:val="22"/>
              </w:rPr>
              <w:t>pm</w:t>
            </w:r>
          </w:p>
        </w:tc>
      </w:tr>
      <w:tr w:rsidR="00FF6249" w:rsidRPr="00835326" w:rsidTr="00532894">
        <w:tc>
          <w:tcPr>
            <w:tcW w:w="2172" w:type="dxa"/>
          </w:tcPr>
          <w:p w:rsidR="00FF6249" w:rsidRPr="00E1165C" w:rsidRDefault="00FF6249" w:rsidP="00532894">
            <w:pPr>
              <w:rPr>
                <w:b/>
                <w:bCs/>
                <w:sz w:val="22"/>
                <w:szCs w:val="22"/>
              </w:rPr>
            </w:pPr>
            <w:r w:rsidRPr="00E1165C">
              <w:rPr>
                <w:b/>
                <w:bCs/>
                <w:sz w:val="22"/>
                <w:szCs w:val="22"/>
              </w:rPr>
              <w:t>Proposed Interview Date (s)</w:t>
            </w:r>
          </w:p>
        </w:tc>
        <w:tc>
          <w:tcPr>
            <w:tcW w:w="8160" w:type="dxa"/>
          </w:tcPr>
          <w:p w:rsidR="00FF6249" w:rsidRPr="00E1165C" w:rsidRDefault="00FF6249" w:rsidP="00532894">
            <w:pPr>
              <w:jc w:val="both"/>
              <w:rPr>
                <w:iCs/>
                <w:sz w:val="22"/>
                <w:szCs w:val="22"/>
              </w:rPr>
            </w:pPr>
            <w:r w:rsidRPr="00E1165C">
              <w:rPr>
                <w:iCs/>
                <w:sz w:val="22"/>
                <w:szCs w:val="22"/>
              </w:rPr>
              <w:t>TBC</w:t>
            </w:r>
          </w:p>
        </w:tc>
      </w:tr>
      <w:tr w:rsidR="00FF6249" w:rsidRPr="00835326" w:rsidTr="00532894">
        <w:trPr>
          <w:trHeight w:val="667"/>
        </w:trPr>
        <w:tc>
          <w:tcPr>
            <w:tcW w:w="2172" w:type="dxa"/>
          </w:tcPr>
          <w:p w:rsidR="00FF6249" w:rsidRPr="00E1165C" w:rsidRDefault="00FF6249" w:rsidP="00532894">
            <w:pPr>
              <w:rPr>
                <w:b/>
                <w:bCs/>
                <w:sz w:val="22"/>
                <w:szCs w:val="22"/>
              </w:rPr>
            </w:pPr>
            <w:r w:rsidRPr="00E1165C">
              <w:rPr>
                <w:b/>
                <w:bCs/>
                <w:sz w:val="22"/>
                <w:szCs w:val="22"/>
              </w:rPr>
              <w:t>Taking up Appointment</w:t>
            </w:r>
          </w:p>
        </w:tc>
        <w:tc>
          <w:tcPr>
            <w:tcW w:w="8160" w:type="dxa"/>
          </w:tcPr>
          <w:p w:rsidR="00FF6249" w:rsidRPr="00E1165C" w:rsidRDefault="00FF6249" w:rsidP="00532894">
            <w:pPr>
              <w:rPr>
                <w:i/>
                <w:iCs/>
                <w:sz w:val="22"/>
                <w:szCs w:val="22"/>
              </w:rPr>
            </w:pPr>
            <w:r w:rsidRPr="00E1165C">
              <w:rPr>
                <w:i/>
                <w:iCs/>
                <w:sz w:val="22"/>
                <w:szCs w:val="22"/>
              </w:rPr>
              <w:t xml:space="preserve">The successful candidate should take up duty as soon as all pre-clearance are completed. </w:t>
            </w:r>
          </w:p>
        </w:tc>
      </w:tr>
      <w:tr w:rsidR="00FF6249" w:rsidRPr="00835326" w:rsidTr="00532894">
        <w:trPr>
          <w:trHeight w:val="294"/>
        </w:trPr>
        <w:tc>
          <w:tcPr>
            <w:tcW w:w="2172" w:type="dxa"/>
          </w:tcPr>
          <w:p w:rsidR="00FF6249" w:rsidRPr="00E1165C" w:rsidRDefault="00FF6249" w:rsidP="00532894">
            <w:pPr>
              <w:rPr>
                <w:b/>
                <w:bCs/>
                <w:sz w:val="22"/>
                <w:szCs w:val="22"/>
              </w:rPr>
            </w:pPr>
            <w:r w:rsidRPr="00E1165C">
              <w:rPr>
                <w:b/>
                <w:bCs/>
                <w:sz w:val="22"/>
                <w:szCs w:val="22"/>
              </w:rPr>
              <w:t>Location of Post</w:t>
            </w:r>
          </w:p>
        </w:tc>
        <w:tc>
          <w:tcPr>
            <w:tcW w:w="8160" w:type="dxa"/>
          </w:tcPr>
          <w:p w:rsidR="00FF6249" w:rsidRPr="00E1165C" w:rsidRDefault="00FF6249" w:rsidP="00532894">
            <w:pPr>
              <w:jc w:val="both"/>
              <w:rPr>
                <w:sz w:val="22"/>
                <w:szCs w:val="22"/>
              </w:rPr>
            </w:pPr>
            <w:r w:rsidRPr="00E1165C">
              <w:rPr>
                <w:iCs/>
                <w:sz w:val="22"/>
                <w:szCs w:val="22"/>
              </w:rPr>
              <w:t>This is a temporary appointment to the HSE Dublin &amp; South East Region on a Public Only Consultants’ Contract 2023 by the Health Service Executive. The initial commitment for this post will be to MHS Waterford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tc>
      </w:tr>
      <w:tr w:rsidR="00FF6249" w:rsidRPr="00835326" w:rsidTr="00532894">
        <w:tc>
          <w:tcPr>
            <w:tcW w:w="2172" w:type="dxa"/>
          </w:tcPr>
          <w:p w:rsidR="00FF6249" w:rsidRPr="000952AD" w:rsidRDefault="00FF6249" w:rsidP="00532894">
            <w:pPr>
              <w:rPr>
                <w:b/>
                <w:bCs/>
                <w:sz w:val="22"/>
                <w:szCs w:val="22"/>
              </w:rPr>
            </w:pPr>
            <w:r w:rsidRPr="000952AD">
              <w:rPr>
                <w:b/>
                <w:bCs/>
                <w:sz w:val="22"/>
                <w:szCs w:val="22"/>
              </w:rPr>
              <w:t>Details of the Service</w:t>
            </w:r>
          </w:p>
          <w:p w:rsidR="00FF6249" w:rsidRPr="00835326" w:rsidRDefault="00FF6249" w:rsidP="00532894">
            <w:pPr>
              <w:rPr>
                <w:b/>
                <w:bCs/>
                <w:sz w:val="22"/>
                <w:szCs w:val="22"/>
              </w:rPr>
            </w:pPr>
          </w:p>
        </w:tc>
        <w:tc>
          <w:tcPr>
            <w:tcW w:w="8160" w:type="dxa"/>
            <w:shd w:val="clear" w:color="auto" w:fill="auto"/>
          </w:tcPr>
          <w:p w:rsidR="00FF6249" w:rsidRPr="000952AD" w:rsidRDefault="00835326" w:rsidP="00835326">
            <w:pPr>
              <w:jc w:val="both"/>
              <w:rPr>
                <w:sz w:val="22"/>
                <w:szCs w:val="22"/>
              </w:rPr>
            </w:pPr>
            <w:r w:rsidRPr="000952AD">
              <w:rPr>
                <w:iCs/>
                <w:sz w:val="22"/>
                <w:szCs w:val="22"/>
              </w:rPr>
              <w:t>This is a new development post under the</w:t>
            </w:r>
            <w:r w:rsidRPr="000952AD">
              <w:rPr>
                <w:sz w:val="22"/>
                <w:szCs w:val="22"/>
              </w:rPr>
              <w:t xml:space="preserve"> National Clinical Programme for Dual Diagnosis which has been established to develop a model of care and identify pilot sites to commence the national rollout of these specialist services.  This Dual Diagnosis service is being established under the National Clinical Programme in Dual Diagnosis and their pathway of care. Currently there are no existing services / specialty for Dual Diagnosis within the hospitals or the mental health services or any HSE services within IHA Waterford/Wexford, IHA Carlow/Kilkenny/South Tipperary. Carlow, Kilkenny, South Tipperary, Waterford &amp;</w:t>
            </w:r>
            <w:r w:rsidR="00DF12E7" w:rsidRPr="000952AD">
              <w:rPr>
                <w:sz w:val="22"/>
                <w:szCs w:val="22"/>
              </w:rPr>
              <w:t xml:space="preserve"> </w:t>
            </w:r>
            <w:r w:rsidRPr="000952AD">
              <w:rPr>
                <w:sz w:val="22"/>
                <w:szCs w:val="22"/>
              </w:rPr>
              <w:t xml:space="preserve">Wexford has been identified as a pilot site for specialist Dual Diagnosis teams. </w:t>
            </w:r>
            <w:r w:rsidR="000952AD" w:rsidRPr="000952AD">
              <w:rPr>
                <w:sz w:val="22"/>
                <w:szCs w:val="22"/>
              </w:rPr>
              <w:t xml:space="preserve"> The new development post for Dual Diagnosis will have a regional remit covering Carlow Kilkenny South Tipperary Waterford Wexford MHS, the team base will be located in Waterford, </w:t>
            </w:r>
            <w:r w:rsidR="000952AD" w:rsidRPr="000952AD">
              <w:rPr>
                <w:sz w:val="22"/>
                <w:szCs w:val="22"/>
                <w:lang w:val="en-IE" w:eastAsia="en-IE"/>
              </w:rPr>
              <w:t xml:space="preserve">and while </w:t>
            </w:r>
            <w:r w:rsidR="000952AD" w:rsidRPr="000952AD">
              <w:rPr>
                <w:sz w:val="22"/>
                <w:szCs w:val="22"/>
              </w:rPr>
              <w:t>initial clinics will be set up in Waterford as the service develops clinics in other counties will be developed on a needs basis.</w:t>
            </w:r>
          </w:p>
          <w:p w:rsidR="00835326" w:rsidRPr="00E1165C" w:rsidRDefault="00835326" w:rsidP="00835326">
            <w:pPr>
              <w:jc w:val="both"/>
              <w:rPr>
                <w:sz w:val="22"/>
                <w:szCs w:val="22"/>
              </w:rPr>
            </w:pPr>
          </w:p>
          <w:p w:rsidR="00835326" w:rsidRPr="00E1165C" w:rsidRDefault="00835326" w:rsidP="00835326">
            <w:pPr>
              <w:jc w:val="both"/>
              <w:rPr>
                <w:sz w:val="22"/>
                <w:szCs w:val="22"/>
              </w:rPr>
            </w:pPr>
            <w:r w:rsidRPr="00E1165C">
              <w:rPr>
                <w:sz w:val="22"/>
                <w:szCs w:val="22"/>
              </w:rPr>
              <w:t>The impact of Mental Health Disorder (MHD) and Substance Use Disorders (SUD) on an individual is widely documented, with poorer outcomes in education, employment, relationships and the social sphere. These individuals are more likely to be in contact with the criminal justice system, experience homelessness and severe poverty than the general population. They have higher levels of unmet in terms of general health due to potential social exclusion. Individuals with a Dual Diagnosis (DD) are more likely to be impacted in these spheres than an individual with only one of these disorders, with access to services due to separation of SUD and MHD services presenting an additional hurdle to supported recovery. DD services in Ireland are provided through the traditional silo structure of healthcare systems. This system provides treatment in sequence of disorder, based on which is considered primary, or in parallel by different services. Although there is a paucity of published work in this area supporting this way of working, more recent evidence suggests that integration of treatment gives better outcomes for individuals.</w:t>
            </w:r>
          </w:p>
          <w:p w:rsidR="00835326" w:rsidRPr="00E1165C" w:rsidRDefault="00835326" w:rsidP="00835326">
            <w:pPr>
              <w:jc w:val="both"/>
              <w:rPr>
                <w:sz w:val="22"/>
                <w:szCs w:val="22"/>
              </w:rPr>
            </w:pPr>
          </w:p>
          <w:p w:rsidR="00835326" w:rsidRPr="00E1165C" w:rsidRDefault="00835326" w:rsidP="00835326">
            <w:pPr>
              <w:jc w:val="both"/>
              <w:rPr>
                <w:sz w:val="22"/>
                <w:szCs w:val="22"/>
              </w:rPr>
            </w:pPr>
            <w:r w:rsidRPr="00E1165C">
              <w:rPr>
                <w:sz w:val="22"/>
                <w:szCs w:val="22"/>
              </w:rPr>
              <w:t xml:space="preserve">It is envisaged that this service will support mental health services within the HSE. Acute settings and other residential facilities. It will also provide some supports to HSE and </w:t>
            </w:r>
            <w:r w:rsidRPr="00E1165C">
              <w:rPr>
                <w:sz w:val="22"/>
                <w:szCs w:val="22"/>
              </w:rPr>
              <w:lastRenderedPageBreak/>
              <w:t>community addiction services including to individuals with alcohol as their primary substance.</w:t>
            </w:r>
          </w:p>
          <w:p w:rsidR="00835326" w:rsidRPr="00E1165C" w:rsidRDefault="00835326" w:rsidP="00835326">
            <w:pPr>
              <w:jc w:val="both"/>
              <w:rPr>
                <w:sz w:val="22"/>
                <w:szCs w:val="22"/>
              </w:rPr>
            </w:pPr>
          </w:p>
          <w:p w:rsidR="00835326" w:rsidRPr="00E1165C" w:rsidRDefault="00835326" w:rsidP="00835326">
            <w:pPr>
              <w:jc w:val="both"/>
              <w:rPr>
                <w:sz w:val="22"/>
                <w:szCs w:val="22"/>
              </w:rPr>
            </w:pPr>
            <w:r w:rsidRPr="00E1165C">
              <w:rPr>
                <w:sz w:val="22"/>
                <w:szCs w:val="22"/>
              </w:rPr>
              <w:t>The post holder within the new Dual Diagnosis service will be embedded in the existing Waterford/Wexford/Carlow/Kilkenny/South Tipperary Community Healthcare under the Clinical governance of Mental Health Services and will work collaboratively with the HSE Addiction services under the HSE Social Inclusion and HSE Health and Wellbeing. Work load for the HSE Community Mental Health teams, HSE addiction Services and in the Emergency Departments of Acute Hospitals (University Hospital Waterford, St. Luke’s Hospital Kilkenny, Tipperary University Hospital &amp;</w:t>
            </w:r>
            <w:r w:rsidR="004E1595" w:rsidRPr="00E1165C">
              <w:rPr>
                <w:sz w:val="22"/>
                <w:szCs w:val="22"/>
              </w:rPr>
              <w:t xml:space="preserve"> </w:t>
            </w:r>
            <w:r w:rsidRPr="00E1165C">
              <w:rPr>
                <w:sz w:val="22"/>
                <w:szCs w:val="22"/>
              </w:rPr>
              <w:t>Wexford General Hospital) dealing with those having substance misuse issues and mental illness will be significantly reduced as there is no service at present dealing with this cohort of patients</w:t>
            </w:r>
          </w:p>
          <w:p w:rsidR="004E1595" w:rsidRPr="00E1165C" w:rsidRDefault="004E1595" w:rsidP="00835326">
            <w:pPr>
              <w:jc w:val="both"/>
              <w:rPr>
                <w:sz w:val="22"/>
                <w:szCs w:val="22"/>
              </w:rPr>
            </w:pPr>
          </w:p>
          <w:p w:rsidR="004E1595" w:rsidRPr="000952AD" w:rsidRDefault="00F118DB" w:rsidP="00835326">
            <w:pPr>
              <w:jc w:val="both"/>
              <w:rPr>
                <w:sz w:val="22"/>
                <w:szCs w:val="22"/>
              </w:rPr>
            </w:pPr>
            <w:r w:rsidRPr="000952AD">
              <w:rPr>
                <w:sz w:val="22"/>
                <w:szCs w:val="22"/>
              </w:rPr>
              <w:t>The team base will be located in Waterford and t</w:t>
            </w:r>
            <w:r w:rsidR="004E1595" w:rsidRPr="000952AD">
              <w:rPr>
                <w:sz w:val="22"/>
                <w:szCs w:val="22"/>
              </w:rPr>
              <w:t>he post holder will have access to beds for providing Consultation in the Acute Psychiatric units in University Hospital Waterford</w:t>
            </w:r>
            <w:r w:rsidRPr="000952AD">
              <w:rPr>
                <w:sz w:val="22"/>
                <w:szCs w:val="22"/>
              </w:rPr>
              <w:t xml:space="preserve"> and St. Luke’s Kilkenny</w:t>
            </w:r>
            <w:r w:rsidR="004E1595" w:rsidRPr="000952AD">
              <w:rPr>
                <w:sz w:val="22"/>
                <w:szCs w:val="22"/>
              </w:rPr>
              <w:t xml:space="preserve"> on the request of admitting Consultant Psychiatrist. If additional beds are allotted for Dual Diagnosis team as an outcome of the National Acute bed capacity review as requested by the National Clinical Programme in the future, the post holder will have access to beds for direct admissions. This will be on an elective and planned basis only.</w:t>
            </w:r>
            <w:r w:rsidR="00DF12E7" w:rsidRPr="000952AD">
              <w:rPr>
                <w:sz w:val="22"/>
                <w:szCs w:val="22"/>
              </w:rPr>
              <w:t xml:space="preserve">  </w:t>
            </w:r>
            <w:r w:rsidR="00DF12E7" w:rsidRPr="000952AD">
              <w:rPr>
                <w:sz w:val="22"/>
                <w:szCs w:val="22"/>
                <w:lang w:val="en-IE" w:eastAsia="en-IE"/>
              </w:rPr>
              <w:t xml:space="preserve">While </w:t>
            </w:r>
            <w:r w:rsidR="00DF12E7" w:rsidRPr="000952AD">
              <w:rPr>
                <w:sz w:val="22"/>
                <w:szCs w:val="22"/>
              </w:rPr>
              <w:t>initial clinics will be set up in Waterford as the service develops clinics in other counties will be developed on a needs basis.</w:t>
            </w:r>
          </w:p>
          <w:p w:rsidR="00835326" w:rsidRPr="00E1165C" w:rsidRDefault="00835326" w:rsidP="00835326">
            <w:pPr>
              <w:jc w:val="both"/>
              <w:rPr>
                <w:iCs/>
                <w:color w:val="0070C0"/>
                <w:sz w:val="22"/>
                <w:szCs w:val="22"/>
              </w:rPr>
            </w:pPr>
          </w:p>
        </w:tc>
      </w:tr>
      <w:tr w:rsidR="00FF6249" w:rsidRPr="00835326" w:rsidTr="00532894">
        <w:tc>
          <w:tcPr>
            <w:tcW w:w="2172" w:type="dxa"/>
          </w:tcPr>
          <w:p w:rsidR="00FF6249" w:rsidRPr="00835326" w:rsidRDefault="00FF6249" w:rsidP="00532894">
            <w:pPr>
              <w:rPr>
                <w:b/>
                <w:bCs/>
                <w:color w:val="FF0000"/>
                <w:sz w:val="22"/>
                <w:szCs w:val="22"/>
              </w:rPr>
            </w:pPr>
            <w:r w:rsidRPr="000952AD">
              <w:rPr>
                <w:b/>
                <w:bCs/>
                <w:sz w:val="22"/>
                <w:szCs w:val="22"/>
              </w:rPr>
              <w:lastRenderedPageBreak/>
              <w:t xml:space="preserve">Purpose of the Post </w:t>
            </w:r>
          </w:p>
        </w:tc>
        <w:tc>
          <w:tcPr>
            <w:tcW w:w="8160" w:type="dxa"/>
          </w:tcPr>
          <w:p w:rsidR="004E1595" w:rsidRPr="00E1165C" w:rsidRDefault="004E1595" w:rsidP="00FF6249">
            <w:pPr>
              <w:autoSpaceDE w:val="0"/>
              <w:autoSpaceDN w:val="0"/>
              <w:adjustRightInd w:val="0"/>
              <w:rPr>
                <w:sz w:val="22"/>
                <w:szCs w:val="22"/>
              </w:rPr>
            </w:pPr>
            <w:r w:rsidRPr="00E1165C">
              <w:rPr>
                <w:sz w:val="22"/>
                <w:szCs w:val="22"/>
              </w:rPr>
              <w:t xml:space="preserve">At present there is no Dual Diagnosis service in Waterford Wexford Carlow Kilkenny South Tipperary Mental Health Services. The team, in full partnership with other voluntary and statutory services, will provide a specialist support to individual with a DD, which is lacking at present. In addition, this team and service will be linking in with different services such as HSE Social Inclusion, HSE Health and Wellbeing and Liaison psychiatry team. </w:t>
            </w:r>
          </w:p>
          <w:p w:rsidR="004E1595" w:rsidRPr="00E1165C" w:rsidRDefault="004E1595" w:rsidP="00FF6249">
            <w:pPr>
              <w:autoSpaceDE w:val="0"/>
              <w:autoSpaceDN w:val="0"/>
              <w:adjustRightInd w:val="0"/>
              <w:rPr>
                <w:sz w:val="22"/>
                <w:szCs w:val="22"/>
              </w:rPr>
            </w:pPr>
          </w:p>
          <w:p w:rsidR="00FF6249" w:rsidRPr="00E1165C" w:rsidRDefault="004E1595" w:rsidP="00FF6249">
            <w:pPr>
              <w:autoSpaceDE w:val="0"/>
              <w:autoSpaceDN w:val="0"/>
              <w:adjustRightInd w:val="0"/>
              <w:rPr>
                <w:iCs/>
                <w:sz w:val="22"/>
                <w:szCs w:val="22"/>
              </w:rPr>
            </w:pPr>
            <w:r w:rsidRPr="00E1165C">
              <w:rPr>
                <w:sz w:val="22"/>
                <w:szCs w:val="22"/>
              </w:rPr>
              <w:t>This</w:t>
            </w:r>
            <w:r w:rsidR="000C616E">
              <w:rPr>
                <w:sz w:val="22"/>
                <w:szCs w:val="22"/>
              </w:rPr>
              <w:t xml:space="preserve"> new Dual Diagnosis service</w:t>
            </w:r>
            <w:r w:rsidRPr="00E1165C">
              <w:rPr>
                <w:sz w:val="22"/>
                <w:szCs w:val="22"/>
              </w:rPr>
              <w:t xml:space="preserve"> will be a service which will work in collaboration with all these various services as there is an overlap and need for Dual Diagnosis in all these different settings. The post holder will have the responsibility to ensure the team will follow the Model of Care for Dual Diagnosis in line with best practice guidelines to provide an enhanced and effective service to the patients within the South East region Mental Health Services. He/she will ensure that all agencies will have overarching clinical responsibility and will ensure appropriate clinical governance is in place that complements and encourages the collaborative approach to care. He/she will provide a value based leadership approach to supporting the specialist Dual Diagnosis team</w:t>
            </w:r>
          </w:p>
        </w:tc>
      </w:tr>
      <w:tr w:rsidR="00FF6249" w:rsidRPr="00835326" w:rsidTr="00532894">
        <w:tc>
          <w:tcPr>
            <w:tcW w:w="2172" w:type="dxa"/>
          </w:tcPr>
          <w:p w:rsidR="00FF6249" w:rsidRPr="000952AD" w:rsidRDefault="00FF6249" w:rsidP="00532894">
            <w:pPr>
              <w:rPr>
                <w:b/>
                <w:bCs/>
                <w:sz w:val="22"/>
                <w:szCs w:val="22"/>
              </w:rPr>
            </w:pPr>
            <w:r w:rsidRPr="000952AD">
              <w:rPr>
                <w:b/>
                <w:bCs/>
                <w:sz w:val="22"/>
                <w:szCs w:val="22"/>
              </w:rPr>
              <w:t>Reporting Relationship</w:t>
            </w:r>
          </w:p>
        </w:tc>
        <w:tc>
          <w:tcPr>
            <w:tcW w:w="8160" w:type="dxa"/>
          </w:tcPr>
          <w:p w:rsidR="00FF6249" w:rsidRPr="000952AD" w:rsidRDefault="00FF6249" w:rsidP="00532894">
            <w:pPr>
              <w:jc w:val="both"/>
              <w:rPr>
                <w:sz w:val="22"/>
                <w:szCs w:val="22"/>
              </w:rPr>
            </w:pPr>
            <w:r w:rsidRPr="000952AD">
              <w:rPr>
                <w:sz w:val="22"/>
                <w:szCs w:val="22"/>
              </w:rPr>
              <w:t xml:space="preserve">The Consultant’s reporting relationship and accountability for the discharge of his/her contract is: </w:t>
            </w:r>
          </w:p>
          <w:p w:rsidR="00FF6249" w:rsidRPr="000952AD" w:rsidRDefault="00FF6249" w:rsidP="00532894">
            <w:pPr>
              <w:jc w:val="both"/>
              <w:rPr>
                <w:sz w:val="22"/>
                <w:szCs w:val="22"/>
              </w:rPr>
            </w:pPr>
          </w:p>
          <w:p w:rsidR="00FF6249" w:rsidRPr="000952AD" w:rsidRDefault="00FF6249" w:rsidP="00FF6249">
            <w:pPr>
              <w:numPr>
                <w:ilvl w:val="0"/>
                <w:numId w:val="8"/>
              </w:numPr>
              <w:jc w:val="both"/>
              <w:rPr>
                <w:sz w:val="22"/>
                <w:szCs w:val="22"/>
              </w:rPr>
            </w:pPr>
            <w:r w:rsidRPr="000952AD">
              <w:rPr>
                <w:sz w:val="22"/>
                <w:szCs w:val="22"/>
              </w:rPr>
              <w:t xml:space="preserve">in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rsidR="00FF6249" w:rsidRPr="000952AD" w:rsidRDefault="00FF6249" w:rsidP="00532894">
            <w:pPr>
              <w:ind w:left="1080"/>
              <w:jc w:val="both"/>
              <w:rPr>
                <w:sz w:val="22"/>
                <w:szCs w:val="22"/>
              </w:rPr>
            </w:pPr>
          </w:p>
          <w:p w:rsidR="00FF6249" w:rsidRPr="000952AD" w:rsidRDefault="00FF6249" w:rsidP="00532894">
            <w:pPr>
              <w:jc w:val="both"/>
              <w:rPr>
                <w:b/>
                <w:iCs/>
                <w:sz w:val="22"/>
                <w:szCs w:val="22"/>
              </w:rPr>
            </w:pPr>
            <w:r w:rsidRPr="000952AD">
              <w:rPr>
                <w:b/>
                <w:iCs/>
                <w:sz w:val="22"/>
                <w:szCs w:val="22"/>
              </w:rPr>
              <w:t>Please outline reporting relationships associated with the post:</w:t>
            </w:r>
          </w:p>
          <w:p w:rsidR="00FF6249" w:rsidRPr="000952AD" w:rsidRDefault="00FF6249" w:rsidP="00FF6249">
            <w:pPr>
              <w:numPr>
                <w:ilvl w:val="0"/>
                <w:numId w:val="4"/>
              </w:numPr>
              <w:jc w:val="both"/>
              <w:rPr>
                <w:iCs/>
                <w:sz w:val="22"/>
                <w:szCs w:val="22"/>
              </w:rPr>
            </w:pPr>
            <w:r w:rsidRPr="000952AD">
              <w:rPr>
                <w:iCs/>
                <w:sz w:val="22"/>
                <w:szCs w:val="22"/>
              </w:rPr>
              <w:t>Executive Clinical Director, Carlow Kilkenny South Tipperary Waterford Wexford</w:t>
            </w:r>
          </w:p>
          <w:p w:rsidR="00FF6249" w:rsidRPr="000952AD" w:rsidRDefault="00FF6249" w:rsidP="00FF6249">
            <w:pPr>
              <w:numPr>
                <w:ilvl w:val="0"/>
                <w:numId w:val="4"/>
              </w:numPr>
              <w:jc w:val="both"/>
              <w:rPr>
                <w:iCs/>
                <w:sz w:val="22"/>
                <w:szCs w:val="22"/>
              </w:rPr>
            </w:pPr>
            <w:r w:rsidRPr="000952AD">
              <w:rPr>
                <w:iCs/>
                <w:sz w:val="22"/>
                <w:szCs w:val="22"/>
              </w:rPr>
              <w:t>Head of Service, Mental Health Carlow Kilkenny South Tipperary Waterford Wexford</w:t>
            </w:r>
          </w:p>
          <w:p w:rsidR="00FF6249" w:rsidRPr="000952AD" w:rsidRDefault="00FF6249" w:rsidP="00532894">
            <w:pPr>
              <w:ind w:left="1080"/>
              <w:jc w:val="both"/>
              <w:rPr>
                <w:sz w:val="22"/>
                <w:szCs w:val="22"/>
              </w:rPr>
            </w:pP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In addition, this post holder will also be jointly and directly reporting to the National Clinical Lead in Dual Diagnosis for the National Clinical Programme in Dual Diagnosis as required.</w:t>
            </w:r>
          </w:p>
          <w:p w:rsidR="00FF6249" w:rsidRPr="000952AD" w:rsidRDefault="00FF6249" w:rsidP="00532894">
            <w:pPr>
              <w:jc w:val="both"/>
              <w:rPr>
                <w:sz w:val="22"/>
                <w:szCs w:val="22"/>
              </w:rPr>
            </w:pPr>
          </w:p>
        </w:tc>
      </w:tr>
      <w:tr w:rsidR="00FF6249" w:rsidRPr="00E1165C" w:rsidTr="00532894">
        <w:tc>
          <w:tcPr>
            <w:tcW w:w="2172" w:type="dxa"/>
          </w:tcPr>
          <w:p w:rsidR="00FF6249" w:rsidRPr="000952AD" w:rsidRDefault="00FF6249" w:rsidP="00532894">
            <w:pPr>
              <w:rPr>
                <w:b/>
                <w:bCs/>
                <w:sz w:val="22"/>
                <w:szCs w:val="22"/>
              </w:rPr>
            </w:pPr>
            <w:r w:rsidRPr="000952AD">
              <w:rPr>
                <w:b/>
                <w:bCs/>
                <w:sz w:val="22"/>
                <w:szCs w:val="22"/>
              </w:rPr>
              <w:t>Key Working Relationships</w:t>
            </w:r>
          </w:p>
          <w:p w:rsidR="00FF6249" w:rsidRPr="000952AD" w:rsidRDefault="00FF6249" w:rsidP="00532894">
            <w:pPr>
              <w:rPr>
                <w:b/>
                <w:bCs/>
                <w:sz w:val="22"/>
                <w:szCs w:val="22"/>
              </w:rPr>
            </w:pPr>
          </w:p>
        </w:tc>
        <w:tc>
          <w:tcPr>
            <w:tcW w:w="8160" w:type="dxa"/>
          </w:tcPr>
          <w:p w:rsidR="004E1595" w:rsidRPr="000952AD" w:rsidRDefault="004E1595" w:rsidP="00F118DB">
            <w:pPr>
              <w:autoSpaceDE w:val="0"/>
              <w:autoSpaceDN w:val="0"/>
              <w:adjustRightInd w:val="0"/>
              <w:rPr>
                <w:sz w:val="22"/>
                <w:szCs w:val="22"/>
              </w:rPr>
            </w:pPr>
            <w:r w:rsidRPr="000952AD">
              <w:rPr>
                <w:sz w:val="22"/>
                <w:szCs w:val="22"/>
              </w:rPr>
              <w:lastRenderedPageBreak/>
              <w:t xml:space="preserve">The post holder will provide services across HSE Dublin South East area covering, Waterford, Wexford, Carlow, Kilkenny and South Tipperary.  </w:t>
            </w:r>
            <w:r w:rsidR="00F118DB" w:rsidRPr="000952AD">
              <w:rPr>
                <w:sz w:val="22"/>
                <w:szCs w:val="22"/>
              </w:rPr>
              <w:t xml:space="preserve">The Dual Diagnosis </w:t>
            </w:r>
            <w:r w:rsidR="00F118DB" w:rsidRPr="000952AD">
              <w:rPr>
                <w:sz w:val="22"/>
                <w:szCs w:val="22"/>
              </w:rPr>
              <w:lastRenderedPageBreak/>
              <w:t>multidisciplinary team will consist of the following team member along with the Consultant Psychiatrist:</w:t>
            </w:r>
          </w:p>
          <w:p w:rsidR="00F118DB" w:rsidRPr="000952AD" w:rsidRDefault="00F118DB" w:rsidP="00F118DB">
            <w:pPr>
              <w:autoSpaceDE w:val="0"/>
              <w:autoSpaceDN w:val="0"/>
              <w:adjustRightInd w:val="0"/>
              <w:rPr>
                <w:sz w:val="22"/>
                <w:szCs w:val="22"/>
              </w:rPr>
            </w:pPr>
          </w:p>
          <w:p w:rsidR="004E1595" w:rsidRPr="000952AD" w:rsidRDefault="004E1595" w:rsidP="00532894">
            <w:pPr>
              <w:autoSpaceDE w:val="0"/>
              <w:autoSpaceDN w:val="0"/>
              <w:adjustRightInd w:val="0"/>
              <w:rPr>
                <w:sz w:val="22"/>
                <w:szCs w:val="22"/>
              </w:rPr>
            </w:pPr>
            <w:r w:rsidRPr="000952AD">
              <w:rPr>
                <w:sz w:val="22"/>
                <w:szCs w:val="22"/>
              </w:rPr>
              <w:t xml:space="preserve">1 WTE NCHD (registrar grade); </w:t>
            </w:r>
          </w:p>
          <w:p w:rsidR="004E1595" w:rsidRPr="000952AD" w:rsidRDefault="004E1595" w:rsidP="00532894">
            <w:pPr>
              <w:autoSpaceDE w:val="0"/>
              <w:autoSpaceDN w:val="0"/>
              <w:adjustRightInd w:val="0"/>
              <w:rPr>
                <w:sz w:val="22"/>
                <w:szCs w:val="22"/>
              </w:rPr>
            </w:pPr>
            <w:r w:rsidRPr="000952AD">
              <w:rPr>
                <w:sz w:val="22"/>
                <w:szCs w:val="22"/>
              </w:rPr>
              <w:t xml:space="preserve">1 WTE grade 4 administrative support </w:t>
            </w:r>
          </w:p>
          <w:p w:rsidR="004E1595" w:rsidRPr="000952AD" w:rsidRDefault="004E1595" w:rsidP="00532894">
            <w:pPr>
              <w:autoSpaceDE w:val="0"/>
              <w:autoSpaceDN w:val="0"/>
              <w:adjustRightInd w:val="0"/>
              <w:rPr>
                <w:sz w:val="22"/>
                <w:szCs w:val="22"/>
              </w:rPr>
            </w:pPr>
          </w:p>
          <w:p w:rsidR="00FF6249" w:rsidRPr="000952AD" w:rsidRDefault="004E1595" w:rsidP="00532894">
            <w:pPr>
              <w:autoSpaceDE w:val="0"/>
              <w:autoSpaceDN w:val="0"/>
              <w:adjustRightInd w:val="0"/>
              <w:rPr>
                <w:sz w:val="22"/>
                <w:szCs w:val="22"/>
              </w:rPr>
            </w:pPr>
            <w:r w:rsidRPr="000952AD">
              <w:rPr>
                <w:sz w:val="22"/>
                <w:szCs w:val="22"/>
              </w:rPr>
              <w:t>All the above WTE’s will be employed in HSE Dublin South East through the HSE Mental Health Services</w:t>
            </w:r>
            <w:r w:rsidR="00F118DB" w:rsidRPr="000952AD">
              <w:rPr>
                <w:sz w:val="22"/>
                <w:szCs w:val="22"/>
              </w:rPr>
              <w:t xml:space="preserve"> and will be recruited along with the Consultant Psychiatrist</w:t>
            </w:r>
            <w:r w:rsidRPr="000952AD">
              <w:rPr>
                <w:sz w:val="22"/>
                <w:szCs w:val="22"/>
              </w:rPr>
              <w:t>, resourced through the HSE National Clinical Programme for Dual Diagnosis</w:t>
            </w:r>
          </w:p>
          <w:p w:rsidR="00E1165C" w:rsidRPr="000952AD" w:rsidRDefault="00E1165C" w:rsidP="00532894">
            <w:pPr>
              <w:autoSpaceDE w:val="0"/>
              <w:autoSpaceDN w:val="0"/>
              <w:adjustRightInd w:val="0"/>
              <w:rPr>
                <w:sz w:val="22"/>
                <w:szCs w:val="22"/>
              </w:rPr>
            </w:pP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The post holder will work jointly with the HSE Dublin South East Mental Health Services, Community Healthcare HSE Mental Health, Addiction and Health and Wellbeing services.</w:t>
            </w:r>
          </w:p>
          <w:p w:rsidR="00E1165C" w:rsidRPr="000952AD" w:rsidRDefault="00E1165C" w:rsidP="00E1165C">
            <w:pPr>
              <w:pStyle w:val="Style1"/>
              <w:numPr>
                <w:ilvl w:val="0"/>
                <w:numId w:val="0"/>
              </w:numPr>
              <w:rPr>
                <w:rFonts w:ascii="Times New Roman" w:hAnsi="Times New Roman"/>
                <w:b w:val="0"/>
                <w:sz w:val="22"/>
                <w:szCs w:val="22"/>
              </w:rPr>
            </w:pP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Provide specialist Dual Diagnosis psychiatry outpatient services within the South East Region</w:t>
            </w: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This post holder will provide outreach services in the community and this will include Domicillary assessments and will be based on the assertive outreach model</w:t>
            </w: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This post holder will provide inpatient work based in the Acute Psychiatric Unit in UH Waterford and St. Luke’s Kilkenny.</w:t>
            </w:r>
          </w:p>
          <w:p w:rsidR="00E1165C" w:rsidRPr="000952AD" w:rsidRDefault="00E1165C" w:rsidP="00E1165C">
            <w:pPr>
              <w:pStyle w:val="Style1"/>
              <w:numPr>
                <w:ilvl w:val="0"/>
                <w:numId w:val="0"/>
              </w:numPr>
              <w:rPr>
                <w:rFonts w:ascii="Times New Roman" w:hAnsi="Times New Roman"/>
                <w:b w:val="0"/>
                <w:sz w:val="22"/>
                <w:szCs w:val="22"/>
              </w:rPr>
            </w:pPr>
            <w:r w:rsidRPr="000952AD">
              <w:rPr>
                <w:rFonts w:ascii="Times New Roman" w:hAnsi="Times New Roman"/>
                <w:b w:val="0"/>
                <w:sz w:val="22"/>
                <w:szCs w:val="22"/>
              </w:rPr>
              <w:t>This post holder will also provide liaison consultation to the UH Waterford and St. Luke’s Kilkenny The post holder will be working in partnership with the voluntary agencies/statutory bodies in the providing of Dual Diagnosis care as required in addition to working in partnership with HSE Social Inclusion, HSE Health and Well being services</w:t>
            </w:r>
          </w:p>
          <w:p w:rsidR="00E1165C" w:rsidRPr="000952AD" w:rsidRDefault="00E1165C" w:rsidP="00532894">
            <w:pPr>
              <w:autoSpaceDE w:val="0"/>
              <w:autoSpaceDN w:val="0"/>
              <w:adjustRightInd w:val="0"/>
              <w:rPr>
                <w:sz w:val="22"/>
                <w:szCs w:val="22"/>
                <w:lang w:val="en-IE" w:eastAsia="en-IE"/>
              </w:rPr>
            </w:pPr>
          </w:p>
        </w:tc>
      </w:tr>
      <w:tr w:rsidR="00FF6249" w:rsidRPr="00E1165C" w:rsidTr="00532894">
        <w:tc>
          <w:tcPr>
            <w:tcW w:w="2172" w:type="dxa"/>
          </w:tcPr>
          <w:p w:rsidR="00FF6249" w:rsidRPr="000952AD" w:rsidRDefault="00FF6249" w:rsidP="00532894">
            <w:pPr>
              <w:rPr>
                <w:b/>
                <w:bCs/>
                <w:sz w:val="22"/>
                <w:szCs w:val="22"/>
              </w:rPr>
            </w:pPr>
            <w:r w:rsidRPr="000952AD">
              <w:rPr>
                <w:b/>
                <w:bCs/>
                <w:sz w:val="22"/>
                <w:szCs w:val="22"/>
              </w:rPr>
              <w:lastRenderedPageBreak/>
              <w:t>Principal Duties and Responsibilities</w:t>
            </w:r>
          </w:p>
          <w:p w:rsidR="00FF6249" w:rsidRPr="000952AD" w:rsidRDefault="00FF6249" w:rsidP="00532894">
            <w:pPr>
              <w:rPr>
                <w:b/>
                <w:bCs/>
                <w:sz w:val="22"/>
                <w:szCs w:val="22"/>
              </w:rPr>
            </w:pPr>
          </w:p>
        </w:tc>
        <w:tc>
          <w:tcPr>
            <w:tcW w:w="8160" w:type="dxa"/>
          </w:tcPr>
          <w:p w:rsidR="00FF6249" w:rsidRPr="000952AD" w:rsidRDefault="00FF6249" w:rsidP="00532894">
            <w:pPr>
              <w:pStyle w:val="Style1"/>
              <w:numPr>
                <w:ilvl w:val="0"/>
                <w:numId w:val="0"/>
              </w:numPr>
              <w:rPr>
                <w:rFonts w:ascii="Times New Roman" w:hAnsi="Times New Roman"/>
                <w:iCs/>
                <w:sz w:val="22"/>
                <w:szCs w:val="22"/>
              </w:rPr>
            </w:pPr>
            <w:bookmarkStart w:id="1" w:name="_Toc204412103"/>
            <w:r w:rsidRPr="000952AD">
              <w:rPr>
                <w:rFonts w:ascii="Times New Roman" w:hAnsi="Times New Roman"/>
                <w:sz w:val="22"/>
                <w:szCs w:val="22"/>
              </w:rPr>
              <w:t>Standard Duties and Responsibilities</w:t>
            </w:r>
            <w:bookmarkEnd w:id="1"/>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 xml:space="preserve">To </w:t>
            </w:r>
            <w:r w:rsidRPr="000952AD">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To ensure that duties and functions are undertaken in a manner that minimises delays for patients and possible disruption of services.</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 xml:space="preserve">To </w:t>
            </w:r>
            <w:r w:rsidRPr="000952AD">
              <w:rPr>
                <w:sz w:val="22"/>
                <w:szCs w:val="22"/>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 xml:space="preserve">To co-operate with the expeditious implementation of the Disciplinary Procedure.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 xml:space="preserve">To </w:t>
            </w:r>
            <w:r w:rsidRPr="000952AD">
              <w:rPr>
                <w:sz w:val="22"/>
                <w:szCs w:val="22"/>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 xml:space="preserve">To </w:t>
            </w:r>
            <w:r w:rsidRPr="000952AD">
              <w:rPr>
                <w:sz w:val="22"/>
                <w:szCs w:val="22"/>
              </w:rPr>
              <w:t>provide, as appropriate, consultation in the Consultant’s area of designated expertise in respect of patients of other Consultants at their request.</w:t>
            </w:r>
          </w:p>
          <w:p w:rsidR="00FF6249" w:rsidRPr="000952AD" w:rsidRDefault="00FF6249" w:rsidP="00FF6249">
            <w:pPr>
              <w:numPr>
                <w:ilvl w:val="0"/>
                <w:numId w:val="6"/>
              </w:numPr>
              <w:autoSpaceDE w:val="0"/>
              <w:autoSpaceDN w:val="0"/>
              <w:adjustRightInd w:val="0"/>
              <w:jc w:val="both"/>
              <w:rPr>
                <w:iCs/>
                <w:sz w:val="22"/>
                <w:szCs w:val="22"/>
              </w:rPr>
            </w:pPr>
            <w:r w:rsidRPr="000952AD">
              <w:rPr>
                <w:bCs/>
                <w:sz w:val="22"/>
                <w:szCs w:val="22"/>
              </w:rPr>
              <w:t xml:space="preserve">To ensure, in consultation with the Clinical Director, that appropriate medical cover is available at all times having due regard to </w:t>
            </w:r>
            <w:r w:rsidRPr="000952AD">
              <w:rPr>
                <w:iCs/>
                <w:sz w:val="22"/>
                <w:szCs w:val="22"/>
              </w:rPr>
              <w:t xml:space="preserve">the implementation of the European Working Time Directive as it relates to doctors in training.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To supervise and be responsible for diagnosis, treatment and care provided by non-Consultant Hospital Doctors (NCHDs) treating patients under the Consultant’s care.</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rPr>
              <w:t>To participate in clinical audit and proactive risk management and facilitate production of all data / information required for same in accordance with regulatory, statutory and corporate policies and procedures.</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lastRenderedPageBreak/>
              <w:t xml:space="preserve">To </w:t>
            </w:r>
            <w:r w:rsidRPr="000952AD">
              <w:rPr>
                <w:sz w:val="22"/>
                <w:szCs w:val="22"/>
              </w:rPr>
              <w:t>participate in and facilitate production of all data / information required to validate delivery of duties and functions and inform planning and management of service delivery.</w:t>
            </w:r>
            <w:r w:rsidRPr="000952AD">
              <w:rPr>
                <w:sz w:val="22"/>
                <w:szCs w:val="22"/>
                <w:lang w:val="en-IE" w:eastAsia="en-IE"/>
              </w:rPr>
              <w:t xml:space="preserve">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lang w:val="en-IE"/>
              </w:rPr>
              <w:t xml:space="preserve">To carry out teaching as appropriate. </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952AD">
              <w:rPr>
                <w:iCs/>
                <w:sz w:val="22"/>
                <w:szCs w:val="22"/>
              </w:rPr>
              <w:t xml:space="preserve"> and comply with associated HSE protocols for implementing and maintaining these standards as appropriate to the role.</w:t>
            </w:r>
          </w:p>
          <w:p w:rsidR="00FF6249" w:rsidRPr="000952AD" w:rsidRDefault="00FF6249" w:rsidP="00FF6249">
            <w:pPr>
              <w:numPr>
                <w:ilvl w:val="0"/>
                <w:numId w:val="6"/>
              </w:numPr>
              <w:autoSpaceDE w:val="0"/>
              <w:autoSpaceDN w:val="0"/>
              <w:adjustRightInd w:val="0"/>
              <w:jc w:val="both"/>
              <w:rPr>
                <w:iCs/>
                <w:sz w:val="22"/>
                <w:szCs w:val="22"/>
              </w:rPr>
            </w:pPr>
            <w:r w:rsidRPr="000952AD">
              <w:rPr>
                <w:sz w:val="22"/>
                <w:szCs w:val="22"/>
                <w:lang w:val="en-IE" w:eastAsia="en-IE"/>
              </w:rPr>
              <w:t>Support, promote and actively participate in sustainable energy, water and waste initiatives to create a more sustainable, low carbon and efficient health service.</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Act as spokesperson for the Organisation as required.</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Demonstrate pro-active commitment to all communications with internal and external stakeholders.</w:t>
            </w:r>
          </w:p>
          <w:p w:rsidR="00FF6249" w:rsidRPr="000952AD" w:rsidRDefault="00FF6249" w:rsidP="00FF6249">
            <w:pPr>
              <w:numPr>
                <w:ilvl w:val="0"/>
                <w:numId w:val="6"/>
              </w:numPr>
              <w:autoSpaceDE w:val="0"/>
              <w:autoSpaceDN w:val="0"/>
              <w:adjustRightInd w:val="0"/>
              <w:jc w:val="both"/>
              <w:rPr>
                <w:iCs/>
                <w:sz w:val="22"/>
                <w:szCs w:val="22"/>
              </w:rPr>
            </w:pPr>
            <w:r w:rsidRPr="000952AD">
              <w:rPr>
                <w:iCs/>
                <w:sz w:val="22"/>
                <w:szCs w:val="22"/>
              </w:rPr>
              <w:t>Staff will work in accordance with the principles and values of recovery as described in the National Framework for Recovery for Irish Mental Health Services 2018-2020.</w:t>
            </w:r>
          </w:p>
          <w:p w:rsidR="00FF6249" w:rsidRPr="000952AD" w:rsidRDefault="00FF6249" w:rsidP="00532894">
            <w:pPr>
              <w:pStyle w:val="ListParagraph"/>
              <w:ind w:left="0"/>
              <w:rPr>
                <w:rFonts w:ascii="Times New Roman" w:hAnsi="Times New Roman" w:cs="Times New Roman"/>
                <w:iCs/>
                <w:sz w:val="22"/>
                <w:szCs w:val="22"/>
              </w:rPr>
            </w:pPr>
          </w:p>
          <w:p w:rsidR="000263A5" w:rsidRPr="000952AD" w:rsidRDefault="000263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To ensure that the service will be community orientated, with treatment provided in the main range of community facilities available, and within the level of resources allocated. To begin to develop a service which will eventually be multidisciplinary in nature, for patients referred for specialist treatment encompassing comprehensive programmes of care to include, where necessary, family support and advice. To lead and engage in the provision of a range of assessment for residential centres, and any service deemed necessary in the future in line with evidenced based practice and National Clinical Programme for Dual Diagnosis services</w:t>
            </w:r>
          </w:p>
          <w:p w:rsidR="000263A5" w:rsidRPr="000952AD" w:rsidRDefault="000263A5" w:rsidP="00532894">
            <w:pPr>
              <w:pStyle w:val="ListParagraph"/>
              <w:ind w:left="0"/>
              <w:rPr>
                <w:rFonts w:ascii="Times New Roman" w:hAnsi="Times New Roman" w:cs="Times New Roman"/>
                <w:sz w:val="22"/>
                <w:szCs w:val="22"/>
              </w:rPr>
            </w:pPr>
          </w:p>
          <w:p w:rsidR="000263A5" w:rsidRPr="000952AD" w:rsidRDefault="000263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work with the Executive Clinical Director/Clinical Director and Supporting structures, Head of Mental Health Services, Hospital Managers, Area Director of Nursing, Medical and Surgical Staff of the hospital/community services in all matters appertaining to their general efficiency. </w:t>
            </w:r>
          </w:p>
          <w:p w:rsidR="000263A5" w:rsidRPr="000952AD" w:rsidRDefault="000263A5" w:rsidP="00532894">
            <w:pPr>
              <w:pStyle w:val="ListParagraph"/>
              <w:ind w:left="0"/>
              <w:rPr>
                <w:rFonts w:ascii="Times New Roman" w:hAnsi="Times New Roman" w:cs="Times New Roman"/>
                <w:sz w:val="22"/>
                <w:szCs w:val="22"/>
              </w:rPr>
            </w:pPr>
          </w:p>
          <w:p w:rsidR="000263A5" w:rsidRPr="000952AD" w:rsidRDefault="000263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To participate in structured arrangements for the determination of resource provision and utilisation, service planning and evaluation and performance revie</w:t>
            </w:r>
            <w:r w:rsidR="008F3D4F" w:rsidRPr="000952AD">
              <w:rPr>
                <w:rFonts w:ascii="Times New Roman" w:hAnsi="Times New Roman" w:cs="Times New Roman"/>
                <w:sz w:val="22"/>
                <w:szCs w:val="22"/>
              </w:rPr>
              <w:t>w appropriate to HSE C/KK/W/W</w:t>
            </w:r>
            <w:r w:rsidRPr="000952AD">
              <w:rPr>
                <w:rFonts w:ascii="Times New Roman" w:hAnsi="Times New Roman" w:cs="Times New Roman"/>
                <w:sz w:val="22"/>
                <w:szCs w:val="22"/>
              </w:rPr>
              <w:t xml:space="preserve"> Mental Health Services </w:t>
            </w:r>
          </w:p>
          <w:p w:rsidR="000263A5" w:rsidRPr="000952AD" w:rsidRDefault="000263A5" w:rsidP="00532894">
            <w:pPr>
              <w:pStyle w:val="ListParagraph"/>
              <w:ind w:left="0"/>
              <w:rPr>
                <w:rFonts w:ascii="Times New Roman" w:hAnsi="Times New Roman" w:cs="Times New Roman"/>
                <w:sz w:val="22"/>
                <w:szCs w:val="22"/>
              </w:rPr>
            </w:pPr>
          </w:p>
          <w:p w:rsidR="000263A5" w:rsidRPr="000952AD" w:rsidRDefault="000263A5" w:rsidP="00532894">
            <w:pPr>
              <w:pStyle w:val="ListParagraph"/>
              <w:ind w:left="0"/>
              <w:rPr>
                <w:rFonts w:ascii="Times New Roman" w:hAnsi="Times New Roman" w:cs="Times New Roman"/>
                <w:iCs/>
                <w:sz w:val="22"/>
                <w:szCs w:val="22"/>
              </w:rPr>
            </w:pPr>
            <w:r w:rsidRPr="000952AD">
              <w:rPr>
                <w:rFonts w:ascii="Times New Roman" w:hAnsi="Times New Roman" w:cs="Times New Roman"/>
                <w:sz w:val="22"/>
                <w:szCs w:val="22"/>
              </w:rPr>
              <w:t>To participate in the on-call rota as required. To deputise and supply cross-cover as appropriate for his/her colleagues in the event of service exigencies in agreement with the Executive Clinical Director/Clinical Director and management of the service</w:t>
            </w:r>
          </w:p>
          <w:p w:rsidR="000263A5" w:rsidRPr="000952AD" w:rsidRDefault="000263A5" w:rsidP="00532894">
            <w:pPr>
              <w:pStyle w:val="ListParagraph"/>
              <w:ind w:left="0"/>
              <w:rPr>
                <w:rFonts w:ascii="Times New Roman" w:hAnsi="Times New Roman" w:cs="Times New Roman"/>
                <w:iCs/>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agree with his/her Executive Clinical Director/Clinical Director, the consultant colleagues to assume clinical responsibility for his/her patients during his/her absence and document same. He/she shall agree with the Executive Clinical Director/Clinical Director, prior to taking leave, which members of medical staff will be on-call and available during that time.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undertake referral meetings, case reviews as required.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write letters and communications to General Practitioners and other professionals as required.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participate in various medical staff meetings within the HSE as necessary.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provide lectures/training as appropriate and as required in the Hospital and Clinical Service areas for medical, nursing and other staff or students.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perform duties in occasional emergencies and unforeseen circumstances on consultation with senior and junior colleagues.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assist in the development of best practice protocols in line with emerging research and </w:t>
            </w:r>
            <w:r w:rsidRPr="000952AD">
              <w:rPr>
                <w:rFonts w:ascii="Times New Roman" w:hAnsi="Times New Roman" w:cs="Times New Roman"/>
                <w:sz w:val="22"/>
                <w:szCs w:val="22"/>
              </w:rPr>
              <w:lastRenderedPageBreak/>
              <w:t xml:space="preserve">best practice.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To participate in activities such as Clinical Practice; Risk Management; Health and Safety; Financial; Administration and HR. •To provide advice, support and consultancy in a variety of settings to minimise risk.</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To participate in regular Audit and Quality Assurance programmes to improve and maintain the high standards of service.</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participate in clinical audit, clinical governance and strategic planning.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contribute to or conduct research in clinical or service areas, in accordance with approved policies, pertinent to the service and their own relevant experience. To comply with reporting requirements and system developments e.g. Mental Health Commission etc. and to provide data/activity as required for performance monitoring </w:t>
            </w:r>
            <w:r w:rsidR="008F3D4F" w:rsidRPr="000952AD">
              <w:rPr>
                <w:rFonts w:ascii="Times New Roman" w:hAnsi="Times New Roman" w:cs="Times New Roman"/>
                <w:sz w:val="22"/>
                <w:szCs w:val="22"/>
              </w:rPr>
              <w:t xml:space="preserve">processes in </w:t>
            </w:r>
            <w:r w:rsidRPr="000952AD">
              <w:rPr>
                <w:rFonts w:ascii="Times New Roman" w:hAnsi="Times New Roman" w:cs="Times New Roman"/>
                <w:sz w:val="22"/>
                <w:szCs w:val="22"/>
              </w:rPr>
              <w:t xml:space="preserve"> Mental Health Services </w:t>
            </w:r>
            <w:r w:rsidR="008F3D4F" w:rsidRPr="000952AD">
              <w:rPr>
                <w:rFonts w:ascii="Times New Roman" w:hAnsi="Times New Roman" w:cs="Times New Roman"/>
                <w:sz w:val="22"/>
                <w:szCs w:val="22"/>
              </w:rPr>
              <w:t>C/KK/W/W</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ensure compliance with all HSE National and local policies and procedures.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notify the appropriate officer of any case of infectious or suspected infectious disease in his/her Department and to furnish such particulars as may be required in each case and to carry out the preventative measure that may be necessary.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The person appointed will hold office under the terms and conditions of the revised consultant’s contract, which will determine that he/she will participate actively in the management of the unit, take cognisance of resource constraints and retain clinical autonomy while practicing.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work with a multidisciplinary team providing assessment and therapeutic services and to have special administrative responsibility if required for the Service.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The person appointed will take an active role in the selection and recruitment of staff where required. </w:t>
            </w:r>
          </w:p>
          <w:p w:rsidR="00C816A5" w:rsidRPr="000952AD" w:rsidRDefault="00C816A5"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be responsible for the maintenance of appropriate liaison arrangements between his/her unit and the patients normal medical attendants. </w:t>
            </w:r>
          </w:p>
          <w:p w:rsidR="00C816A5" w:rsidRPr="000952AD" w:rsidRDefault="00C816A5" w:rsidP="00532894">
            <w:pPr>
              <w:pStyle w:val="ListParagraph"/>
              <w:ind w:left="0"/>
              <w:rPr>
                <w:rFonts w:ascii="Times New Roman" w:hAnsi="Times New Roman" w:cs="Times New Roman"/>
                <w:sz w:val="22"/>
                <w:szCs w:val="22"/>
              </w:rPr>
            </w:pPr>
          </w:p>
          <w:p w:rsidR="009B29EA"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The person appointed to the office is a Designated Officer under the “Protections for Persons Reporting Child Abuse Act, 1998” and consistent with Children’s First Guidelines 2011 to receive reports of child abuse. Such officers will, on receiving a report of child abuse, formally notify the relevant Child and Fa</w:t>
            </w:r>
            <w:r w:rsidR="009B29EA" w:rsidRPr="000952AD">
              <w:rPr>
                <w:rFonts w:ascii="Times New Roman" w:hAnsi="Times New Roman" w:cs="Times New Roman"/>
                <w:sz w:val="22"/>
                <w:szCs w:val="22"/>
              </w:rPr>
              <w:t xml:space="preserve">mily Services Manager (Tusla). </w:t>
            </w:r>
          </w:p>
          <w:p w:rsidR="009B29EA" w:rsidRPr="000952AD" w:rsidRDefault="009B29EA" w:rsidP="00532894">
            <w:pPr>
              <w:pStyle w:val="ListParagraph"/>
              <w:ind w:left="0"/>
              <w:rPr>
                <w:rFonts w:ascii="Times New Roman" w:hAnsi="Times New Roman" w:cs="Times New Roman"/>
                <w:sz w:val="22"/>
                <w:szCs w:val="22"/>
              </w:rPr>
            </w:pPr>
          </w:p>
          <w:p w:rsidR="009B29EA" w:rsidRPr="000952AD" w:rsidRDefault="00C816A5" w:rsidP="00532894">
            <w:pPr>
              <w:pStyle w:val="ListParagraph"/>
              <w:ind w:left="0"/>
              <w:rPr>
                <w:rFonts w:ascii="Times New Roman" w:hAnsi="Times New Roman" w:cs="Times New Roman"/>
                <w:sz w:val="22"/>
                <w:szCs w:val="22"/>
              </w:rPr>
            </w:pPr>
            <w:r w:rsidRPr="000952AD">
              <w:rPr>
                <w:rFonts w:ascii="Times New Roman" w:hAnsi="Times New Roman" w:cs="Times New Roman"/>
                <w:sz w:val="22"/>
                <w:szCs w:val="22"/>
              </w:rPr>
              <w:t xml:space="preserve">To prepare clinical and court reports pursuant to Section 25 </w:t>
            </w:r>
            <w:r w:rsidR="009B29EA" w:rsidRPr="000952AD">
              <w:rPr>
                <w:rFonts w:ascii="Times New Roman" w:hAnsi="Times New Roman" w:cs="Times New Roman"/>
                <w:sz w:val="22"/>
                <w:szCs w:val="22"/>
              </w:rPr>
              <w:t xml:space="preserve">of the Mental Health Act 2001. </w:t>
            </w:r>
          </w:p>
          <w:p w:rsidR="009B29EA" w:rsidRPr="000952AD" w:rsidRDefault="009B29EA" w:rsidP="00532894">
            <w:pPr>
              <w:pStyle w:val="ListParagraph"/>
              <w:ind w:left="0"/>
              <w:rPr>
                <w:rFonts w:ascii="Times New Roman" w:hAnsi="Times New Roman" w:cs="Times New Roman"/>
                <w:sz w:val="22"/>
                <w:szCs w:val="22"/>
              </w:rPr>
            </w:pPr>
          </w:p>
          <w:p w:rsidR="00C816A5" w:rsidRPr="000952AD" w:rsidRDefault="00C816A5" w:rsidP="00532894">
            <w:pPr>
              <w:pStyle w:val="ListParagraph"/>
              <w:ind w:left="0"/>
              <w:rPr>
                <w:rFonts w:ascii="Times New Roman" w:hAnsi="Times New Roman" w:cs="Times New Roman"/>
                <w:iCs/>
                <w:sz w:val="22"/>
                <w:szCs w:val="22"/>
              </w:rPr>
            </w:pPr>
            <w:r w:rsidRPr="000952AD">
              <w:rPr>
                <w:rFonts w:ascii="Times New Roman" w:hAnsi="Times New Roman" w:cs="Times New Roman"/>
                <w:sz w:val="22"/>
                <w:szCs w:val="22"/>
              </w:rPr>
              <w:t>To ensure that current Health and Safety Legislation is complied with in consultation with the Executive Clinical Director/Clinical Director, Area Director of Nursing and other responsible persons.</w:t>
            </w:r>
          </w:p>
          <w:p w:rsidR="000263A5" w:rsidRPr="000952AD" w:rsidRDefault="000263A5" w:rsidP="00532894">
            <w:pPr>
              <w:pStyle w:val="ListParagraph"/>
              <w:ind w:left="0"/>
              <w:rPr>
                <w:rFonts w:ascii="Times New Roman" w:hAnsi="Times New Roman" w:cs="Times New Roman"/>
                <w:iCs/>
                <w:sz w:val="22"/>
                <w:szCs w:val="22"/>
              </w:rPr>
            </w:pPr>
          </w:p>
          <w:p w:rsidR="00FF6249" w:rsidRPr="000952AD" w:rsidRDefault="00FF6249" w:rsidP="00532894">
            <w:pPr>
              <w:jc w:val="both"/>
              <w:rPr>
                <w:sz w:val="22"/>
                <w:szCs w:val="22"/>
              </w:rPr>
            </w:pPr>
            <w:r w:rsidRPr="000952AD">
              <w:rPr>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0952AD">
              <w:rPr>
                <w:sz w:val="22"/>
                <w:szCs w:val="22"/>
              </w:rPr>
              <w:t xml:space="preserve">  </w:t>
            </w:r>
          </w:p>
          <w:p w:rsidR="00FF6249" w:rsidRPr="000952AD" w:rsidRDefault="00FF6249" w:rsidP="00532894">
            <w:pPr>
              <w:jc w:val="both"/>
              <w:rPr>
                <w:b/>
                <w:iCs/>
                <w:sz w:val="22"/>
                <w:szCs w:val="22"/>
                <w:lang w:val="en-IE"/>
              </w:rPr>
            </w:pP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lastRenderedPageBreak/>
              <w:t>Eligibility Criteria</w:t>
            </w:r>
          </w:p>
          <w:p w:rsidR="00FF6249" w:rsidRPr="000952AD" w:rsidRDefault="00FF6249" w:rsidP="00532894">
            <w:pPr>
              <w:rPr>
                <w:b/>
                <w:bCs/>
                <w:sz w:val="22"/>
                <w:szCs w:val="22"/>
              </w:rPr>
            </w:pPr>
          </w:p>
          <w:p w:rsidR="00FF6249" w:rsidRPr="000952AD" w:rsidRDefault="00FF6249" w:rsidP="00532894">
            <w:pPr>
              <w:rPr>
                <w:b/>
                <w:bCs/>
                <w:sz w:val="22"/>
                <w:szCs w:val="22"/>
              </w:rPr>
            </w:pPr>
          </w:p>
          <w:p w:rsidR="00FF6249" w:rsidRPr="000952AD" w:rsidRDefault="00FF6249" w:rsidP="00532894">
            <w:pPr>
              <w:rPr>
                <w:b/>
                <w:bCs/>
                <w:sz w:val="22"/>
                <w:szCs w:val="22"/>
              </w:rPr>
            </w:pPr>
          </w:p>
          <w:p w:rsidR="00FF6249" w:rsidRPr="000952AD" w:rsidRDefault="00FF6249" w:rsidP="00532894">
            <w:pPr>
              <w:rPr>
                <w:b/>
                <w:bCs/>
                <w:sz w:val="22"/>
                <w:szCs w:val="22"/>
              </w:rPr>
            </w:pPr>
          </w:p>
          <w:p w:rsidR="00FF6249" w:rsidRPr="000952AD" w:rsidRDefault="00FF6249" w:rsidP="00532894">
            <w:pPr>
              <w:rPr>
                <w:b/>
                <w:bCs/>
                <w:sz w:val="22"/>
                <w:szCs w:val="22"/>
              </w:rPr>
            </w:pPr>
            <w:r w:rsidRPr="000952AD">
              <w:rPr>
                <w:b/>
                <w:bCs/>
                <w:sz w:val="22"/>
                <w:szCs w:val="22"/>
              </w:rPr>
              <w:lastRenderedPageBreak/>
              <w:t>Qualifications and/ or experience</w:t>
            </w:r>
          </w:p>
          <w:p w:rsidR="00FF6249" w:rsidRPr="000952AD" w:rsidRDefault="00FF6249" w:rsidP="00532894">
            <w:pPr>
              <w:rPr>
                <w:b/>
                <w:bCs/>
                <w:sz w:val="22"/>
                <w:szCs w:val="22"/>
              </w:rPr>
            </w:pPr>
          </w:p>
        </w:tc>
        <w:tc>
          <w:tcPr>
            <w:tcW w:w="8160" w:type="dxa"/>
          </w:tcPr>
          <w:p w:rsidR="00FF6249" w:rsidRPr="000952AD" w:rsidRDefault="00FF6249" w:rsidP="00532894">
            <w:pPr>
              <w:jc w:val="both"/>
              <w:rPr>
                <w:b/>
                <w:sz w:val="22"/>
                <w:szCs w:val="22"/>
              </w:rPr>
            </w:pPr>
            <w:r w:rsidRPr="000952AD">
              <w:rPr>
                <w:b/>
                <w:sz w:val="22"/>
                <w:szCs w:val="22"/>
              </w:rPr>
              <w:lastRenderedPageBreak/>
              <w:t>Professional Qualifications</w:t>
            </w:r>
          </w:p>
          <w:p w:rsidR="00FF6249" w:rsidRPr="000952AD" w:rsidRDefault="00FF6249" w:rsidP="00532894">
            <w:pPr>
              <w:jc w:val="both"/>
              <w:rPr>
                <w:b/>
                <w:sz w:val="22"/>
                <w:szCs w:val="22"/>
              </w:rPr>
            </w:pPr>
          </w:p>
          <w:p w:rsidR="00FF6249" w:rsidRPr="000952AD" w:rsidRDefault="009100F4" w:rsidP="00532894">
            <w:pPr>
              <w:jc w:val="both"/>
              <w:rPr>
                <w:bCs/>
                <w:sz w:val="22"/>
                <w:szCs w:val="22"/>
              </w:rPr>
            </w:pPr>
            <w:r w:rsidRPr="000952AD">
              <w:rPr>
                <w:bCs/>
                <w:sz w:val="22"/>
                <w:szCs w:val="22"/>
              </w:rPr>
              <w:t xml:space="preserve">(a) </w:t>
            </w:r>
            <w:r w:rsidR="00FF6249" w:rsidRPr="000952AD">
              <w:rPr>
                <w:bCs/>
                <w:sz w:val="22"/>
                <w:szCs w:val="22"/>
              </w:rPr>
              <w:t xml:space="preserve">Registration as a specialist in the Specialist Division of the Register of Medical Practitioners maintained by the Medical Council in Ireland in the specialty of psychiatry. </w:t>
            </w:r>
          </w:p>
          <w:p w:rsidR="009100F4" w:rsidRPr="000952AD" w:rsidRDefault="009100F4" w:rsidP="00532894">
            <w:pPr>
              <w:jc w:val="both"/>
              <w:rPr>
                <w:bCs/>
                <w:sz w:val="22"/>
                <w:szCs w:val="22"/>
              </w:rPr>
            </w:pPr>
          </w:p>
          <w:p w:rsidR="009100F4" w:rsidRPr="000952AD" w:rsidRDefault="009100F4" w:rsidP="00532894">
            <w:pPr>
              <w:jc w:val="both"/>
              <w:rPr>
                <w:sz w:val="22"/>
                <w:szCs w:val="22"/>
              </w:rPr>
            </w:pPr>
            <w:r w:rsidRPr="000952AD">
              <w:rPr>
                <w:sz w:val="22"/>
                <w:szCs w:val="22"/>
              </w:rPr>
              <w:lastRenderedPageBreak/>
              <w:t xml:space="preserve">and </w:t>
            </w:r>
          </w:p>
          <w:p w:rsidR="009100F4" w:rsidRPr="000952AD" w:rsidRDefault="009100F4" w:rsidP="00532894">
            <w:pPr>
              <w:jc w:val="both"/>
              <w:rPr>
                <w:sz w:val="22"/>
                <w:szCs w:val="22"/>
              </w:rPr>
            </w:pPr>
          </w:p>
          <w:p w:rsidR="009100F4" w:rsidRPr="000952AD" w:rsidRDefault="009100F4" w:rsidP="00532894">
            <w:pPr>
              <w:jc w:val="both"/>
              <w:rPr>
                <w:bCs/>
                <w:sz w:val="22"/>
                <w:szCs w:val="22"/>
              </w:rPr>
            </w:pPr>
            <w:r w:rsidRPr="000952AD">
              <w:rPr>
                <w:sz w:val="22"/>
                <w:szCs w:val="22"/>
              </w:rPr>
              <w:t>(b) one year documented postgraduate evidence of training and/or experience assuring competence in the area of substance misuse</w:t>
            </w:r>
          </w:p>
          <w:p w:rsidR="00FF6249" w:rsidRPr="000952AD" w:rsidRDefault="00FF6249" w:rsidP="00532894">
            <w:pPr>
              <w:jc w:val="both"/>
              <w:rPr>
                <w:b/>
                <w:sz w:val="22"/>
                <w:szCs w:val="22"/>
              </w:rPr>
            </w:pPr>
          </w:p>
          <w:p w:rsidR="00FF6249" w:rsidRPr="000952AD" w:rsidRDefault="00FF6249" w:rsidP="00532894">
            <w:pPr>
              <w:jc w:val="both"/>
              <w:rPr>
                <w:b/>
                <w:sz w:val="22"/>
                <w:szCs w:val="22"/>
              </w:rPr>
            </w:pPr>
            <w:r w:rsidRPr="000952AD">
              <w:rPr>
                <w:b/>
                <w:sz w:val="22"/>
                <w:szCs w:val="22"/>
              </w:rPr>
              <w:t>Entry to competition / recruitment process and subsequent appointment</w:t>
            </w:r>
          </w:p>
          <w:p w:rsidR="00FF6249" w:rsidRPr="000952AD" w:rsidRDefault="00FF6249" w:rsidP="00532894">
            <w:pPr>
              <w:autoSpaceDE w:val="0"/>
              <w:autoSpaceDN w:val="0"/>
              <w:adjustRightInd w:val="0"/>
              <w:spacing w:line="240" w:lineRule="atLeast"/>
              <w:rPr>
                <w:b/>
                <w:sz w:val="22"/>
                <w:szCs w:val="22"/>
              </w:rPr>
            </w:pPr>
          </w:p>
          <w:p w:rsidR="00FF6249" w:rsidRPr="000952AD" w:rsidRDefault="00FF6249" w:rsidP="00532894">
            <w:pPr>
              <w:autoSpaceDE w:val="0"/>
              <w:autoSpaceDN w:val="0"/>
              <w:adjustRightInd w:val="0"/>
              <w:spacing w:line="240" w:lineRule="atLeast"/>
              <w:rPr>
                <w:bCs/>
                <w:sz w:val="22"/>
                <w:szCs w:val="22"/>
                <w:lang w:val="en-IE" w:eastAsia="en-IE"/>
              </w:rPr>
            </w:pPr>
            <w:r w:rsidRPr="000952AD">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FF6249" w:rsidRPr="000952AD" w:rsidRDefault="00FF6249" w:rsidP="00532894">
            <w:pPr>
              <w:autoSpaceDE w:val="0"/>
              <w:autoSpaceDN w:val="0"/>
              <w:adjustRightInd w:val="0"/>
              <w:spacing w:line="240" w:lineRule="atLeast"/>
              <w:rPr>
                <w:bCs/>
                <w:sz w:val="22"/>
                <w:szCs w:val="22"/>
                <w:lang w:val="en-IE" w:eastAsia="en-IE"/>
              </w:rPr>
            </w:pPr>
          </w:p>
          <w:p w:rsidR="00FF6249" w:rsidRPr="000952AD" w:rsidRDefault="00FF6249" w:rsidP="00532894">
            <w:pPr>
              <w:autoSpaceDE w:val="0"/>
              <w:autoSpaceDN w:val="0"/>
              <w:adjustRightInd w:val="0"/>
              <w:spacing w:line="240" w:lineRule="atLeast"/>
              <w:rPr>
                <w:bCs/>
                <w:sz w:val="22"/>
                <w:szCs w:val="22"/>
                <w:lang w:val="en-IE" w:eastAsia="en-IE"/>
              </w:rPr>
            </w:pPr>
          </w:p>
          <w:p w:rsidR="00FF6249" w:rsidRPr="000952AD" w:rsidRDefault="00FF6249" w:rsidP="00532894">
            <w:pPr>
              <w:tabs>
                <w:tab w:val="left" w:pos="720"/>
              </w:tabs>
              <w:autoSpaceDE w:val="0"/>
              <w:autoSpaceDN w:val="0"/>
              <w:adjustRightInd w:val="0"/>
              <w:spacing w:line="240" w:lineRule="atLeast"/>
              <w:ind w:left="480" w:hanging="480"/>
              <w:jc w:val="both"/>
              <w:rPr>
                <w:b/>
                <w:sz w:val="22"/>
                <w:szCs w:val="22"/>
              </w:rPr>
            </w:pPr>
            <w:r w:rsidRPr="000952AD">
              <w:rPr>
                <w:b/>
                <w:sz w:val="22"/>
                <w:szCs w:val="22"/>
              </w:rPr>
              <w:t>Health</w:t>
            </w:r>
          </w:p>
          <w:p w:rsidR="00FF6249" w:rsidRPr="000952AD" w:rsidRDefault="00FF6249" w:rsidP="00532894">
            <w:pPr>
              <w:autoSpaceDE w:val="0"/>
              <w:autoSpaceDN w:val="0"/>
              <w:adjustRightInd w:val="0"/>
              <w:spacing w:line="240" w:lineRule="atLeast"/>
              <w:rPr>
                <w:bCs/>
                <w:sz w:val="22"/>
                <w:szCs w:val="22"/>
                <w:lang w:val="en-IE" w:eastAsia="en-IE"/>
              </w:rPr>
            </w:pPr>
            <w:r w:rsidRPr="000952AD">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FF6249" w:rsidRPr="000952AD" w:rsidRDefault="00FF6249" w:rsidP="00532894">
            <w:pPr>
              <w:pStyle w:val="DefaultText"/>
              <w:ind w:hanging="720"/>
              <w:jc w:val="both"/>
              <w:rPr>
                <w:bCs/>
                <w:sz w:val="22"/>
                <w:szCs w:val="22"/>
                <w:u w:val="single"/>
              </w:rPr>
            </w:pPr>
          </w:p>
          <w:p w:rsidR="00FF6249" w:rsidRPr="000952AD" w:rsidRDefault="00FF6249" w:rsidP="00532894">
            <w:pPr>
              <w:pStyle w:val="DefaultText"/>
              <w:ind w:left="480" w:hanging="480"/>
              <w:jc w:val="both"/>
              <w:rPr>
                <w:b/>
                <w:sz w:val="22"/>
                <w:szCs w:val="22"/>
                <w:lang w:eastAsia="en-GB"/>
              </w:rPr>
            </w:pPr>
            <w:r w:rsidRPr="000952AD">
              <w:rPr>
                <w:b/>
                <w:sz w:val="22"/>
                <w:szCs w:val="22"/>
                <w:lang w:eastAsia="en-GB"/>
              </w:rPr>
              <w:t>Character</w:t>
            </w:r>
          </w:p>
          <w:p w:rsidR="00FF6249" w:rsidRPr="000952AD" w:rsidRDefault="00FF6249" w:rsidP="00532894">
            <w:pPr>
              <w:autoSpaceDE w:val="0"/>
              <w:autoSpaceDN w:val="0"/>
              <w:adjustRightInd w:val="0"/>
              <w:spacing w:line="240" w:lineRule="atLeast"/>
              <w:rPr>
                <w:bCs/>
                <w:sz w:val="22"/>
                <w:szCs w:val="22"/>
                <w:lang w:val="en-IE" w:eastAsia="en-IE"/>
              </w:rPr>
            </w:pPr>
            <w:r w:rsidRPr="000952AD">
              <w:rPr>
                <w:bCs/>
                <w:sz w:val="22"/>
                <w:szCs w:val="22"/>
                <w:lang w:val="en-IE" w:eastAsia="en-IE"/>
              </w:rPr>
              <w:t>A candidate for and any person holding the post must be of good character.</w:t>
            </w:r>
          </w:p>
          <w:p w:rsidR="00FF6249" w:rsidRPr="000952AD" w:rsidRDefault="00FF6249" w:rsidP="00532894">
            <w:pPr>
              <w:jc w:val="both"/>
              <w:rPr>
                <w:sz w:val="22"/>
                <w:szCs w:val="22"/>
              </w:rPr>
            </w:pP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lastRenderedPageBreak/>
              <w:t>Other requirements specific to the post</w:t>
            </w:r>
          </w:p>
        </w:tc>
        <w:tc>
          <w:tcPr>
            <w:tcW w:w="8160" w:type="dxa"/>
          </w:tcPr>
          <w:p w:rsidR="00FF6249" w:rsidRPr="000952AD" w:rsidRDefault="00FF6249" w:rsidP="00F118DB">
            <w:pPr>
              <w:autoSpaceDE w:val="0"/>
              <w:autoSpaceDN w:val="0"/>
              <w:adjustRightInd w:val="0"/>
              <w:rPr>
                <w:iCs/>
                <w:sz w:val="22"/>
                <w:szCs w:val="22"/>
              </w:rPr>
            </w:pPr>
            <w:r w:rsidRPr="000952AD">
              <w:rPr>
                <w:sz w:val="22"/>
                <w:szCs w:val="22"/>
                <w:lang w:val="en-IE" w:eastAsia="en-IE"/>
              </w:rPr>
              <w:t>Full Driving Licence - Access to own transport</w:t>
            </w:r>
            <w:r w:rsidR="00D56EF8" w:rsidRPr="000952AD">
              <w:rPr>
                <w:sz w:val="22"/>
                <w:szCs w:val="22"/>
                <w:lang w:val="en-IE" w:eastAsia="en-IE"/>
              </w:rPr>
              <w:t xml:space="preserve"> as this post will involve frequent travel</w:t>
            </w: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t>Skills, competencies and/or knowledge</w:t>
            </w:r>
          </w:p>
          <w:p w:rsidR="00FF6249" w:rsidRPr="000952AD" w:rsidRDefault="00FF6249" w:rsidP="00532894">
            <w:pPr>
              <w:rPr>
                <w:b/>
                <w:bCs/>
                <w:sz w:val="22"/>
                <w:szCs w:val="22"/>
              </w:rPr>
            </w:pPr>
          </w:p>
          <w:p w:rsidR="00FF6249" w:rsidRPr="000952AD" w:rsidRDefault="00FF6249" w:rsidP="00532894">
            <w:pPr>
              <w:rPr>
                <w:b/>
                <w:bCs/>
                <w:sz w:val="22"/>
                <w:szCs w:val="22"/>
              </w:rPr>
            </w:pPr>
          </w:p>
          <w:p w:rsidR="00FF6249" w:rsidRPr="000952AD" w:rsidRDefault="00FF6249" w:rsidP="00532894">
            <w:pPr>
              <w:rPr>
                <w:b/>
                <w:bCs/>
                <w:sz w:val="22"/>
                <w:szCs w:val="22"/>
              </w:rPr>
            </w:pPr>
          </w:p>
        </w:tc>
        <w:tc>
          <w:tcPr>
            <w:tcW w:w="8160" w:type="dxa"/>
          </w:tcPr>
          <w:p w:rsidR="00FF6249" w:rsidRPr="000952AD" w:rsidRDefault="00FF6249" w:rsidP="00532894">
            <w:pPr>
              <w:rPr>
                <w:b/>
                <w:bCs/>
                <w:sz w:val="22"/>
                <w:szCs w:val="22"/>
                <w:lang w:val="en-IE"/>
              </w:rPr>
            </w:pPr>
            <w:r w:rsidRPr="000952AD">
              <w:rPr>
                <w:b/>
                <w:sz w:val="22"/>
                <w:szCs w:val="22"/>
              </w:rPr>
              <w:t xml:space="preserve">Clinical Competence – Delivering Clinical Expertise </w:t>
            </w:r>
          </w:p>
          <w:p w:rsidR="00FF6249" w:rsidRPr="000952AD" w:rsidRDefault="00FF6249" w:rsidP="00532894">
            <w:pPr>
              <w:rPr>
                <w:i/>
                <w:sz w:val="22"/>
                <w:szCs w:val="22"/>
              </w:rPr>
            </w:pPr>
            <w:r w:rsidRPr="000952AD">
              <w:rPr>
                <w:i/>
                <w:sz w:val="22"/>
                <w:szCs w:val="22"/>
              </w:rPr>
              <w:t>(incorporating clinical knowledge &amp; skills, clinical experience, Continuous Practitioner Development)</w:t>
            </w:r>
          </w:p>
          <w:p w:rsidR="00FF6249" w:rsidRPr="000952AD" w:rsidRDefault="00FF6249" w:rsidP="00532894">
            <w:pPr>
              <w:rPr>
                <w:i/>
                <w:sz w:val="22"/>
                <w:szCs w:val="22"/>
              </w:rPr>
            </w:pP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 xml:space="preserve">Possesses a detailed knowledge and understanding of the relevant specialist domain </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Has a clear understanding of the clinical challenges facing relevant population groups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Demonstrates leadership skills to enhance patient care and safety</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Applies knowledge effectively to make clear and proactive decisions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Anticipates rather than reacts; maintains knowledge of current research and practice</w:t>
            </w:r>
          </w:p>
          <w:p w:rsidR="00FF6249" w:rsidRPr="000952AD" w:rsidRDefault="00FF6249" w:rsidP="00FF6249">
            <w:pPr>
              <w:numPr>
                <w:ilvl w:val="0"/>
                <w:numId w:val="7"/>
              </w:numPr>
              <w:rPr>
                <w:b/>
                <w:bCs/>
                <w:sz w:val="22"/>
                <w:szCs w:val="22"/>
                <w:lang w:val="en-IE"/>
              </w:rPr>
            </w:pPr>
            <w:r w:rsidRPr="000952AD">
              <w:rPr>
                <w:kern w:val="24"/>
                <w:sz w:val="22"/>
                <w:szCs w:val="22"/>
                <w:lang w:val="en-IE" w:eastAsia="en-IE"/>
              </w:rPr>
              <w:t>Recognises and respond to the complexity, uncertainty and ambiguity inherent in medical practice</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Has track record of doing things thoroughly in challenging cases / complex referrals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Adopts a patient-centred approach to understanding patient needs and delivering their care</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 xml:space="preserve">Makes a clear and decisive contribution within the multi-disciplinary team </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Regularly engages in further education to develop self and practice</w:t>
            </w:r>
          </w:p>
          <w:p w:rsidR="00FF6249" w:rsidRPr="000952AD" w:rsidRDefault="00FF6249" w:rsidP="00532894">
            <w:pPr>
              <w:rPr>
                <w:b/>
                <w:bCs/>
                <w:sz w:val="22"/>
                <w:szCs w:val="22"/>
                <w:lang w:val="en-IE"/>
              </w:rPr>
            </w:pPr>
          </w:p>
          <w:p w:rsidR="00FF6249" w:rsidRPr="000952AD" w:rsidRDefault="00FF6249" w:rsidP="00532894">
            <w:pPr>
              <w:rPr>
                <w:b/>
                <w:bCs/>
                <w:sz w:val="22"/>
                <w:szCs w:val="22"/>
                <w:lang w:val="en-IE"/>
              </w:rPr>
            </w:pPr>
            <w:r w:rsidRPr="000952AD">
              <w:rPr>
                <w:b/>
                <w:sz w:val="22"/>
                <w:szCs w:val="22"/>
              </w:rPr>
              <w:t xml:space="preserve">Organisational Competence – </w:t>
            </w:r>
            <w:r w:rsidRPr="000952AD">
              <w:rPr>
                <w:b/>
                <w:bCs/>
                <w:sz w:val="22"/>
                <w:szCs w:val="22"/>
                <w:lang w:val="en-IE"/>
              </w:rPr>
              <w:t>Leading &amp; Governance</w:t>
            </w:r>
          </w:p>
          <w:p w:rsidR="00FF6249" w:rsidRPr="000952AD" w:rsidRDefault="00FF6249" w:rsidP="00532894">
            <w:pPr>
              <w:rPr>
                <w:i/>
                <w:sz w:val="22"/>
                <w:szCs w:val="22"/>
              </w:rPr>
            </w:pPr>
            <w:r w:rsidRPr="000952AD">
              <w:rPr>
                <w:i/>
                <w:sz w:val="22"/>
                <w:szCs w:val="22"/>
              </w:rPr>
              <w:t>(Incorporating clinical leadership &amp; accountability, clinical service planning)</w:t>
            </w:r>
          </w:p>
          <w:p w:rsidR="00FF6249" w:rsidRPr="000952AD" w:rsidRDefault="00FF6249" w:rsidP="00532894">
            <w:pPr>
              <w:ind w:left="360"/>
              <w:contextualSpacing/>
              <w:rPr>
                <w:sz w:val="22"/>
                <w:szCs w:val="22"/>
                <w:lang w:val="en-IE" w:eastAsia="en-IE"/>
              </w:rPr>
            </w:pP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Sees self as accountable for relevant issues related to clinical outcomes, patient safety, risk, quality, stewardship of resources and change management</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Manages people by providing direction, reviewing performance, motivating others and promoting equality and diversity</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Recognises respective areas of accountability of the CEO, General Manger / Service lead and others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Efficient and organised; employs effective processes to manage and prioritise workload</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Open and honest; willing to admit mistakes and learns from experiences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Is aware of resources available and manages these appropriately</w:t>
            </w:r>
            <w:r w:rsidRPr="000952AD">
              <w:rPr>
                <w:bCs/>
                <w:sz w:val="22"/>
                <w:szCs w:val="22"/>
                <w:lang w:val="en-IE"/>
              </w:rPr>
              <w:t xml:space="preserve"> to ensure the delivery of safe and efficient services</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Contributes to the development of business and service plans to achieve service goals</w:t>
            </w:r>
          </w:p>
          <w:p w:rsidR="00FF6249" w:rsidRPr="000952AD" w:rsidRDefault="00FF6249" w:rsidP="00FF6249">
            <w:pPr>
              <w:numPr>
                <w:ilvl w:val="0"/>
                <w:numId w:val="7"/>
              </w:numPr>
              <w:rPr>
                <w:b/>
                <w:sz w:val="22"/>
                <w:szCs w:val="22"/>
              </w:rPr>
            </w:pPr>
            <w:r w:rsidRPr="000952AD">
              <w:rPr>
                <w:kern w:val="24"/>
                <w:sz w:val="22"/>
                <w:szCs w:val="22"/>
                <w:lang w:val="en-IE" w:eastAsia="en-IE"/>
              </w:rPr>
              <w:t>Reviews and monitors service provision</w:t>
            </w:r>
          </w:p>
          <w:p w:rsidR="00FF6249" w:rsidRPr="000952AD" w:rsidRDefault="00FF6249" w:rsidP="00FF6249">
            <w:pPr>
              <w:numPr>
                <w:ilvl w:val="0"/>
                <w:numId w:val="7"/>
              </w:numPr>
              <w:autoSpaceDE w:val="0"/>
              <w:autoSpaceDN w:val="0"/>
              <w:adjustRightInd w:val="0"/>
              <w:jc w:val="both"/>
              <w:rPr>
                <w:iCs/>
                <w:sz w:val="22"/>
                <w:szCs w:val="22"/>
              </w:rPr>
            </w:pPr>
            <w:r w:rsidRPr="000952AD">
              <w:rPr>
                <w:iCs/>
                <w:sz w:val="22"/>
                <w:szCs w:val="22"/>
              </w:rPr>
              <w:t>Adequately identifies, assesses, manages and monitors risk within their area of responsibility</w:t>
            </w:r>
          </w:p>
          <w:p w:rsidR="00FF6249" w:rsidRPr="000952AD" w:rsidRDefault="00FF6249" w:rsidP="00532894">
            <w:pPr>
              <w:rPr>
                <w:b/>
                <w:sz w:val="22"/>
                <w:szCs w:val="22"/>
              </w:rPr>
            </w:pPr>
          </w:p>
          <w:p w:rsidR="00FF6249" w:rsidRPr="000952AD" w:rsidRDefault="00FF6249" w:rsidP="00532894">
            <w:pPr>
              <w:rPr>
                <w:b/>
                <w:bCs/>
                <w:sz w:val="22"/>
                <w:szCs w:val="22"/>
                <w:lang w:val="en-IE"/>
              </w:rPr>
            </w:pPr>
            <w:r w:rsidRPr="000952AD">
              <w:rPr>
                <w:b/>
                <w:sz w:val="22"/>
                <w:szCs w:val="22"/>
              </w:rPr>
              <w:lastRenderedPageBreak/>
              <w:t xml:space="preserve">Interpersonal Competence – </w:t>
            </w:r>
            <w:r w:rsidRPr="000952AD">
              <w:rPr>
                <w:b/>
                <w:bCs/>
                <w:sz w:val="22"/>
                <w:szCs w:val="22"/>
                <w:lang w:val="en-IE"/>
              </w:rPr>
              <w:t>Engaging Staff, Patients &amp; Family</w:t>
            </w:r>
          </w:p>
          <w:p w:rsidR="00FF6249" w:rsidRPr="000952AD" w:rsidRDefault="00FF6249" w:rsidP="00532894">
            <w:pPr>
              <w:rPr>
                <w:i/>
                <w:sz w:val="22"/>
                <w:szCs w:val="22"/>
              </w:rPr>
            </w:pPr>
            <w:r w:rsidRPr="000952AD">
              <w:rPr>
                <w:i/>
                <w:sz w:val="22"/>
                <w:szCs w:val="22"/>
              </w:rPr>
              <w:t>(Incorporating communication &amp; listening skills, dealing with emotional situations, teamwork &amp; collaboration, motivating and supporting others)</w:t>
            </w:r>
          </w:p>
          <w:p w:rsidR="00FF6249" w:rsidRPr="000952AD" w:rsidRDefault="00FF6249" w:rsidP="00532894">
            <w:pPr>
              <w:rPr>
                <w:i/>
                <w:sz w:val="22"/>
                <w:szCs w:val="22"/>
              </w:rPr>
            </w:pP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Listens attentively and accurately to others and tailors his/her communication to suit the individual and the situation (oral and written)</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Encourages people to collaborate towards a common goal or vision</w:t>
            </w:r>
          </w:p>
          <w:p w:rsidR="00FF6249" w:rsidRPr="000952AD" w:rsidRDefault="00FF6249" w:rsidP="00FF6249">
            <w:pPr>
              <w:numPr>
                <w:ilvl w:val="0"/>
                <w:numId w:val="7"/>
              </w:numPr>
              <w:contextualSpacing/>
              <w:rPr>
                <w:kern w:val="24"/>
                <w:sz w:val="22"/>
                <w:szCs w:val="22"/>
                <w:lang w:val="en-IE" w:eastAsia="en-IE"/>
              </w:rPr>
            </w:pPr>
            <w:r w:rsidRPr="000952AD">
              <w:rPr>
                <w:kern w:val="24"/>
                <w:sz w:val="22"/>
                <w:szCs w:val="22"/>
                <w:lang w:val="en-IE" w:eastAsia="en-IE"/>
              </w:rPr>
              <w:t>Helps people to identify and develop their strengths, supports people when things go wrong</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 xml:space="preserve">Demonstrates self-awareness; understands own limitations </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 xml:space="preserve">Manages own emotions and is resilient, remains calm under pressure </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Adopts an inclusive, collaborative approach / understands and respects others’ roles within the wider multi-disciplinary team / treats people with respect at all times</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kern w:val="24"/>
                <w:sz w:val="22"/>
                <w:szCs w:val="22"/>
                <w:lang w:val="en-IE" w:eastAsia="en-IE"/>
              </w:rPr>
              <w:t>Sees self as a team member; is willing to take as well as give direction</w:t>
            </w:r>
            <w:r w:rsidRPr="000952AD">
              <w:rPr>
                <w:rFonts w:ascii="Times New Roman" w:hAnsi="Times New Roman" w:cs="Times New Roman"/>
                <w:bCs/>
                <w:sz w:val="22"/>
                <w:szCs w:val="22"/>
                <w:lang w:val="en-IE"/>
              </w:rPr>
              <w:t xml:space="preserve"> / works within teams to deliver and improve services</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val="en-IE" w:eastAsia="en-IE"/>
              </w:rPr>
              <w:t>Effectively influences and persuades others</w:t>
            </w:r>
          </w:p>
          <w:p w:rsidR="00FF6249" w:rsidRPr="000952AD" w:rsidRDefault="00FF6249" w:rsidP="00532894">
            <w:pPr>
              <w:contextualSpacing/>
              <w:rPr>
                <w:sz w:val="22"/>
                <w:szCs w:val="22"/>
                <w:lang w:val="en-IE" w:eastAsia="en-IE"/>
              </w:rPr>
            </w:pPr>
          </w:p>
          <w:p w:rsidR="00FF6249" w:rsidRPr="000952AD" w:rsidRDefault="00FF6249" w:rsidP="00532894">
            <w:pPr>
              <w:rPr>
                <w:b/>
                <w:bCs/>
                <w:sz w:val="22"/>
                <w:szCs w:val="22"/>
                <w:lang w:val="en-IE"/>
              </w:rPr>
            </w:pPr>
            <w:r w:rsidRPr="000952AD">
              <w:rPr>
                <w:b/>
                <w:sz w:val="22"/>
                <w:szCs w:val="22"/>
              </w:rPr>
              <w:t xml:space="preserve">Future Focused Competence </w:t>
            </w:r>
            <w:r w:rsidRPr="000952AD">
              <w:rPr>
                <w:b/>
                <w:bCs/>
                <w:sz w:val="22"/>
                <w:szCs w:val="22"/>
                <w:lang w:val="en-IE"/>
              </w:rPr>
              <w:t>– Improving Future Care</w:t>
            </w:r>
          </w:p>
          <w:p w:rsidR="00FF6249" w:rsidRPr="000952AD" w:rsidRDefault="00FF6249" w:rsidP="00532894">
            <w:pPr>
              <w:rPr>
                <w:i/>
                <w:sz w:val="22"/>
                <w:szCs w:val="22"/>
              </w:rPr>
            </w:pPr>
            <w:r w:rsidRPr="000952AD">
              <w:rPr>
                <w:i/>
                <w:sz w:val="22"/>
                <w:szCs w:val="22"/>
              </w:rPr>
              <w:t>(Improving healthcare quality, Teaching &amp; Research)</w:t>
            </w:r>
          </w:p>
          <w:p w:rsidR="00FF6249" w:rsidRPr="000952AD" w:rsidRDefault="00FF6249" w:rsidP="00532894">
            <w:pPr>
              <w:pStyle w:val="ListParagraph"/>
              <w:ind w:left="360"/>
              <w:rPr>
                <w:rFonts w:ascii="Times New Roman" w:hAnsi="Times New Roman" w:cs="Times New Roman"/>
                <w:bCs/>
                <w:sz w:val="22"/>
                <w:szCs w:val="22"/>
                <w:lang w:val="en-IE"/>
              </w:rPr>
            </w:pP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Identifies the contexts for change, demonstrating awareness of the political, social, technical, economic, organisational and professional environment</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Encourages improvement and innovation, creating a climate of continuous service improvement.</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Applies knowledge and evidence, gathering information to produce an evidence-based challenge to systems and processes in order to identify opportunities for service improvement</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Makes sound evidence based decisions consistent with the values and priorities of the organisation and profession</w:t>
            </w:r>
          </w:p>
          <w:p w:rsidR="00FF6249" w:rsidRPr="000952AD" w:rsidRDefault="00FF6249" w:rsidP="00FF6249">
            <w:pPr>
              <w:pStyle w:val="ListParagraph"/>
              <w:numPr>
                <w:ilvl w:val="0"/>
                <w:numId w:val="7"/>
              </w:numPr>
              <w:rPr>
                <w:rFonts w:ascii="Times New Roman" w:hAnsi="Times New Roman" w:cs="Times New Roman"/>
                <w:bCs/>
                <w:sz w:val="22"/>
                <w:szCs w:val="22"/>
                <w:lang w:val="en-IE"/>
              </w:rPr>
            </w:pPr>
            <w:r w:rsidRPr="000952AD">
              <w:rPr>
                <w:rFonts w:ascii="Times New Roman" w:hAnsi="Times New Roman" w:cs="Times New Roman"/>
                <w:bCs/>
                <w:sz w:val="22"/>
                <w:szCs w:val="22"/>
                <w:lang w:val="en-IE"/>
              </w:rPr>
              <w:t>Measures and evaluates outcomes taking corrective action where necessary and is accountable for decisions</w:t>
            </w:r>
          </w:p>
          <w:p w:rsidR="00FF6249" w:rsidRPr="000952AD" w:rsidRDefault="00FF6249" w:rsidP="00FF6249">
            <w:pPr>
              <w:numPr>
                <w:ilvl w:val="0"/>
                <w:numId w:val="7"/>
              </w:numPr>
              <w:rPr>
                <w:kern w:val="24"/>
                <w:sz w:val="22"/>
                <w:szCs w:val="22"/>
                <w:lang w:val="en-IE" w:eastAsia="en-IE"/>
              </w:rPr>
            </w:pPr>
            <w:r w:rsidRPr="000952AD">
              <w:rPr>
                <w:kern w:val="24"/>
                <w:sz w:val="22"/>
                <w:szCs w:val="22"/>
                <w:lang w:val="en-IE" w:eastAsia="en-IE"/>
              </w:rPr>
              <w:t>Contributes to an ongoing process to improve health in the community / population s/he serves, with a strong appreciation of the service user</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eastAsia="en-IE"/>
              </w:rPr>
              <w:t>Shares learning with colleagues via formal and informal methods (thinking aloud)</w:t>
            </w:r>
          </w:p>
          <w:p w:rsidR="00FF6249" w:rsidRPr="000952AD" w:rsidRDefault="00FF6249" w:rsidP="00FF6249">
            <w:pPr>
              <w:numPr>
                <w:ilvl w:val="0"/>
                <w:numId w:val="7"/>
              </w:numPr>
              <w:contextualSpacing/>
              <w:rPr>
                <w:sz w:val="22"/>
                <w:szCs w:val="22"/>
                <w:lang w:val="en-IE" w:eastAsia="en-IE"/>
              </w:rPr>
            </w:pPr>
            <w:r w:rsidRPr="000952AD">
              <w:rPr>
                <w:kern w:val="24"/>
                <w:sz w:val="22"/>
                <w:szCs w:val="22"/>
                <w:lang w:eastAsia="en-IE"/>
              </w:rPr>
              <w:t>Makes time to coach and support others; shows empathy for the concerns of learners,  promotes a safe learning environment</w:t>
            </w:r>
          </w:p>
          <w:p w:rsidR="00FF6249" w:rsidRPr="000952AD" w:rsidRDefault="00FF6249" w:rsidP="00532894">
            <w:pPr>
              <w:pStyle w:val="ListParagraph"/>
              <w:ind w:left="0"/>
              <w:rPr>
                <w:rFonts w:ascii="Times New Roman" w:hAnsi="Times New Roman" w:cs="Times New Roman"/>
                <w:sz w:val="22"/>
                <w:szCs w:val="22"/>
              </w:rPr>
            </w:pP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lastRenderedPageBreak/>
              <w:t>Competition Specific Selection Process</w:t>
            </w:r>
          </w:p>
          <w:p w:rsidR="00FF6249" w:rsidRPr="000952AD" w:rsidRDefault="00FF6249" w:rsidP="00532894">
            <w:pPr>
              <w:rPr>
                <w:b/>
                <w:bCs/>
                <w:sz w:val="22"/>
                <w:szCs w:val="22"/>
              </w:rPr>
            </w:pPr>
          </w:p>
          <w:p w:rsidR="00FF6249" w:rsidRPr="000952AD" w:rsidRDefault="00FF6249" w:rsidP="00532894">
            <w:pPr>
              <w:rPr>
                <w:b/>
                <w:bCs/>
                <w:sz w:val="22"/>
                <w:szCs w:val="22"/>
              </w:rPr>
            </w:pPr>
            <w:r w:rsidRPr="000952AD">
              <w:rPr>
                <w:b/>
                <w:bCs/>
                <w:sz w:val="22"/>
                <w:szCs w:val="22"/>
              </w:rPr>
              <w:t>Ranking/Shortlisting / Interview</w:t>
            </w:r>
          </w:p>
        </w:tc>
        <w:tc>
          <w:tcPr>
            <w:tcW w:w="8160" w:type="dxa"/>
          </w:tcPr>
          <w:p w:rsidR="00FF6249" w:rsidRPr="000952AD" w:rsidRDefault="00FF6249" w:rsidP="00532894">
            <w:pPr>
              <w:jc w:val="both"/>
              <w:rPr>
                <w:sz w:val="22"/>
                <w:szCs w:val="22"/>
              </w:rPr>
            </w:pPr>
            <w:r w:rsidRPr="000952AD">
              <w:rPr>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FF6249" w:rsidRPr="000952AD" w:rsidRDefault="00FF6249" w:rsidP="00532894">
            <w:pPr>
              <w:jc w:val="both"/>
              <w:rPr>
                <w:sz w:val="22"/>
                <w:szCs w:val="22"/>
              </w:rPr>
            </w:pPr>
          </w:p>
          <w:p w:rsidR="00FF6249" w:rsidRPr="000952AD" w:rsidRDefault="00FF6249" w:rsidP="00532894">
            <w:pPr>
              <w:jc w:val="both"/>
              <w:rPr>
                <w:sz w:val="22"/>
                <w:szCs w:val="22"/>
                <w:u w:val="single"/>
              </w:rPr>
            </w:pPr>
            <w:r w:rsidRPr="000952AD">
              <w:rPr>
                <w:sz w:val="22"/>
                <w:szCs w:val="22"/>
                <w:u w:val="single"/>
              </w:rPr>
              <w:t xml:space="preserve">Failure to include information regarding these requirements may result in you not being called forward to the next stage of the selection process.  </w:t>
            </w:r>
          </w:p>
          <w:p w:rsidR="00FF6249" w:rsidRPr="000952AD" w:rsidRDefault="00FF6249" w:rsidP="00532894">
            <w:pPr>
              <w:jc w:val="both"/>
              <w:rPr>
                <w:sz w:val="22"/>
                <w:szCs w:val="22"/>
                <w:u w:val="single"/>
              </w:rPr>
            </w:pPr>
          </w:p>
          <w:p w:rsidR="00FF6249" w:rsidRPr="000952AD" w:rsidRDefault="00FF6249" w:rsidP="00532894">
            <w:pPr>
              <w:jc w:val="both"/>
              <w:rPr>
                <w:sz w:val="22"/>
                <w:szCs w:val="22"/>
              </w:rPr>
            </w:pPr>
            <w:r w:rsidRPr="000952AD">
              <w:rPr>
                <w:sz w:val="22"/>
                <w:szCs w:val="22"/>
              </w:rPr>
              <w:t>The HSE is an equal opportunities employer.</w:t>
            </w:r>
          </w:p>
          <w:p w:rsidR="00FF6249" w:rsidRPr="000952AD" w:rsidRDefault="00FF6249" w:rsidP="00532894">
            <w:pPr>
              <w:jc w:val="both"/>
              <w:rPr>
                <w:sz w:val="22"/>
                <w:szCs w:val="22"/>
                <w:u w:val="single"/>
              </w:rPr>
            </w:pP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t>Diversity, Equality and Inclusion</w:t>
            </w:r>
          </w:p>
        </w:tc>
        <w:tc>
          <w:tcPr>
            <w:tcW w:w="8160" w:type="dxa"/>
          </w:tcPr>
          <w:p w:rsidR="00FF6249" w:rsidRPr="000952AD" w:rsidRDefault="00FF6249" w:rsidP="00532894">
            <w:pPr>
              <w:jc w:val="both"/>
              <w:rPr>
                <w:sz w:val="22"/>
                <w:szCs w:val="22"/>
              </w:rPr>
            </w:pPr>
            <w:r w:rsidRPr="000952AD">
              <w:rPr>
                <w:sz w:val="22"/>
                <w:szCs w:val="22"/>
              </w:rPr>
              <w:t>The HSE is an equal opportunities employer.</w:t>
            </w:r>
          </w:p>
          <w:p w:rsidR="00FF6249" w:rsidRPr="000952AD" w:rsidRDefault="00FF6249" w:rsidP="00532894">
            <w:pPr>
              <w:jc w:val="both"/>
              <w:rPr>
                <w:sz w:val="22"/>
                <w:szCs w:val="22"/>
              </w:rPr>
            </w:pPr>
          </w:p>
          <w:p w:rsidR="00FF6249" w:rsidRPr="000952AD" w:rsidRDefault="00FF6249" w:rsidP="00532894">
            <w:pPr>
              <w:jc w:val="both"/>
              <w:rPr>
                <w:sz w:val="22"/>
                <w:szCs w:val="22"/>
              </w:rPr>
            </w:pPr>
            <w:r w:rsidRPr="000952AD">
              <w:rPr>
                <w:sz w:val="22"/>
                <w:szCs w:val="22"/>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FF6249" w:rsidRPr="000952AD" w:rsidRDefault="00FF6249" w:rsidP="00532894">
            <w:pPr>
              <w:jc w:val="both"/>
              <w:rPr>
                <w:sz w:val="22"/>
                <w:szCs w:val="22"/>
              </w:rPr>
            </w:pPr>
          </w:p>
          <w:p w:rsidR="00FF6249" w:rsidRPr="000952AD" w:rsidRDefault="00FF6249" w:rsidP="00532894">
            <w:pPr>
              <w:jc w:val="both"/>
              <w:rPr>
                <w:sz w:val="22"/>
                <w:szCs w:val="22"/>
              </w:rPr>
            </w:pPr>
            <w:r w:rsidRPr="000952AD">
              <w:rPr>
                <w:sz w:val="22"/>
                <w:szCs w:val="22"/>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FF6249" w:rsidRPr="000952AD" w:rsidRDefault="00FF6249" w:rsidP="00532894">
            <w:pPr>
              <w:jc w:val="both"/>
              <w:rPr>
                <w:sz w:val="22"/>
                <w:szCs w:val="22"/>
                <w:shd w:val="clear" w:color="auto" w:fill="FFFFFF"/>
              </w:rPr>
            </w:pPr>
          </w:p>
          <w:p w:rsidR="00FF6249" w:rsidRPr="000952AD" w:rsidRDefault="00FF6249" w:rsidP="00532894">
            <w:pPr>
              <w:jc w:val="both"/>
              <w:rPr>
                <w:sz w:val="22"/>
                <w:szCs w:val="22"/>
              </w:rPr>
            </w:pPr>
            <w:r w:rsidRPr="000952AD">
              <w:rPr>
                <w:sz w:val="22"/>
                <w:szCs w:val="22"/>
              </w:rPr>
              <w:t xml:space="preserve">The HSE welcomes people with diverse backgrounds and offers a range of supports and resources to staff, such as those who require a reasonable accommodation at work because of a disability or long term health condition. </w:t>
            </w:r>
          </w:p>
          <w:p w:rsidR="00FF6249" w:rsidRPr="000952AD" w:rsidRDefault="00FF6249" w:rsidP="00532894">
            <w:pPr>
              <w:jc w:val="both"/>
              <w:rPr>
                <w:sz w:val="22"/>
                <w:szCs w:val="22"/>
              </w:rPr>
            </w:pPr>
          </w:p>
          <w:p w:rsidR="00FF6249" w:rsidRPr="000952AD" w:rsidRDefault="00FF6249" w:rsidP="00532894">
            <w:pPr>
              <w:spacing w:after="160" w:line="276" w:lineRule="auto"/>
              <w:rPr>
                <w:rFonts w:eastAsia="Calibri"/>
                <w:sz w:val="22"/>
                <w:szCs w:val="22"/>
                <w:lang w:val="en-IE" w:eastAsia="en-US"/>
              </w:rPr>
            </w:pPr>
            <w:r w:rsidRPr="000952AD">
              <w:rPr>
                <w:sz w:val="22"/>
                <w:szCs w:val="22"/>
              </w:rPr>
              <w:t xml:space="preserve">For further information on the HSE commitment to Diversity, Equality and Inclusion, please visit the Diversity, Equality and Inclusion web page at </w:t>
            </w:r>
            <w:hyperlink r:id="rId8" w:history="1">
              <w:r w:rsidRPr="000952AD">
                <w:rPr>
                  <w:rStyle w:val="Hyperlink"/>
                  <w:color w:val="auto"/>
                  <w:sz w:val="22"/>
                  <w:szCs w:val="22"/>
                </w:rPr>
                <w:t>https://www.hse.ie/eng/staff/resources/diversity/</w:t>
              </w:r>
            </w:hyperlink>
            <w:r w:rsidRPr="000952AD">
              <w:rPr>
                <w:sz w:val="22"/>
                <w:szCs w:val="22"/>
              </w:rPr>
              <w:t xml:space="preserve">  </w:t>
            </w:r>
          </w:p>
        </w:tc>
      </w:tr>
      <w:tr w:rsidR="000952AD" w:rsidRPr="000952AD" w:rsidTr="00532894">
        <w:tc>
          <w:tcPr>
            <w:tcW w:w="2172" w:type="dxa"/>
          </w:tcPr>
          <w:p w:rsidR="00FF6249" w:rsidRPr="000952AD" w:rsidRDefault="00FF6249" w:rsidP="00532894">
            <w:pPr>
              <w:rPr>
                <w:b/>
                <w:bCs/>
                <w:sz w:val="22"/>
                <w:szCs w:val="22"/>
              </w:rPr>
            </w:pPr>
            <w:r w:rsidRPr="000952AD">
              <w:rPr>
                <w:b/>
                <w:bCs/>
                <w:sz w:val="22"/>
                <w:szCs w:val="22"/>
              </w:rPr>
              <w:lastRenderedPageBreak/>
              <w:t>Code of Practice</w:t>
            </w:r>
          </w:p>
        </w:tc>
        <w:tc>
          <w:tcPr>
            <w:tcW w:w="8160" w:type="dxa"/>
          </w:tcPr>
          <w:p w:rsidR="00FF6249" w:rsidRPr="000952AD" w:rsidRDefault="00FF6249" w:rsidP="00532894">
            <w:pPr>
              <w:spacing w:after="160" w:line="276" w:lineRule="auto"/>
              <w:rPr>
                <w:rFonts w:eastAsia="Calibri"/>
                <w:sz w:val="22"/>
                <w:szCs w:val="22"/>
                <w:lang w:val="en-IE" w:eastAsia="en-US"/>
              </w:rPr>
            </w:pPr>
            <w:r w:rsidRPr="000952AD">
              <w:rPr>
                <w:rFonts w:eastAsia="Calibri"/>
                <w:sz w:val="22"/>
                <w:szCs w:val="22"/>
                <w:lang w:val="en-IE" w:eastAsia="en-US"/>
              </w:rPr>
              <w:t xml:space="preserve">The Health Service Executive will run this campaign in compliance with the Code of Practice prepared by the Commission for Public Service Appointments (CPSA). </w:t>
            </w:r>
          </w:p>
          <w:p w:rsidR="00FF6249" w:rsidRPr="000952AD" w:rsidRDefault="00FF6249" w:rsidP="00532894">
            <w:pPr>
              <w:shd w:val="clear" w:color="auto" w:fill="FFFFFF"/>
              <w:spacing w:after="160" w:line="276" w:lineRule="auto"/>
              <w:rPr>
                <w:rFonts w:eastAsia="Calibri"/>
                <w:sz w:val="22"/>
                <w:szCs w:val="22"/>
                <w:lang w:val="en-IE" w:eastAsia="en-IE"/>
              </w:rPr>
            </w:pPr>
            <w:r w:rsidRPr="000952AD">
              <w:rPr>
                <w:rFonts w:eastAsia="Calibri"/>
                <w:sz w:val="22"/>
                <w:szCs w:val="22"/>
                <w:lang w:val="en-IE" w:eastAsia="en-US"/>
              </w:rPr>
              <w:t xml:space="preserve">The CPSA is responsible for </w:t>
            </w:r>
            <w:r w:rsidRPr="000952AD">
              <w:rPr>
                <w:rFonts w:eastAsia="Calibri"/>
                <w:sz w:val="22"/>
                <w:szCs w:val="22"/>
                <w:lang w:val="en-IE"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FF6249" w:rsidRPr="000952AD" w:rsidRDefault="00FF6249" w:rsidP="00532894">
            <w:pPr>
              <w:spacing w:after="160" w:line="276" w:lineRule="auto"/>
              <w:rPr>
                <w:rFonts w:eastAsia="Calibri"/>
                <w:sz w:val="22"/>
                <w:szCs w:val="22"/>
                <w:lang w:val="en-IE" w:eastAsia="en-US"/>
              </w:rPr>
            </w:pPr>
            <w:r w:rsidRPr="000952AD">
              <w:rPr>
                <w:rFonts w:eastAsia="Calibri"/>
                <w:sz w:val="22"/>
                <w:szCs w:val="22"/>
                <w:lang w:val="en-IE" w:eastAsia="en-US"/>
              </w:rPr>
              <w:t xml:space="preserve">The CPSA Code of Practice can be accessed via </w:t>
            </w:r>
            <w:hyperlink r:id="rId9" w:history="1">
              <w:r w:rsidRPr="000952AD">
                <w:rPr>
                  <w:rFonts w:eastAsia="Calibri"/>
                  <w:sz w:val="22"/>
                  <w:szCs w:val="22"/>
                  <w:u w:val="single"/>
                  <w:lang w:val="en-IE" w:eastAsia="en-US"/>
                </w:rPr>
                <w:t>https://www.cpsa.ie/</w:t>
              </w:r>
            </w:hyperlink>
            <w:r w:rsidRPr="000952AD">
              <w:rPr>
                <w:rFonts w:eastAsia="Calibri"/>
                <w:sz w:val="22"/>
                <w:szCs w:val="22"/>
                <w:lang w:val="en-IE" w:eastAsia="en-US"/>
              </w:rPr>
              <w:t>.</w:t>
            </w:r>
          </w:p>
          <w:p w:rsidR="00FF6249" w:rsidRPr="000952AD" w:rsidRDefault="00FF6249" w:rsidP="00532894">
            <w:pPr>
              <w:jc w:val="both"/>
              <w:rPr>
                <w:sz w:val="22"/>
                <w:szCs w:val="22"/>
              </w:rPr>
            </w:pPr>
          </w:p>
        </w:tc>
      </w:tr>
      <w:tr w:rsidR="00FF6249" w:rsidRPr="000952AD" w:rsidTr="00532894">
        <w:tc>
          <w:tcPr>
            <w:tcW w:w="10332" w:type="dxa"/>
            <w:gridSpan w:val="2"/>
          </w:tcPr>
          <w:p w:rsidR="00FF6249" w:rsidRPr="000952AD" w:rsidRDefault="00FF6249" w:rsidP="00532894">
            <w:pPr>
              <w:rPr>
                <w:sz w:val="22"/>
                <w:szCs w:val="22"/>
              </w:rPr>
            </w:pPr>
            <w:r w:rsidRPr="000952AD">
              <w:rPr>
                <w:sz w:val="22"/>
                <w:szCs w:val="22"/>
              </w:rPr>
              <w:t>The reform programme outlined for the Health Services may impact on this role and as structures change the job description may be reviewed.</w:t>
            </w:r>
          </w:p>
          <w:p w:rsidR="00FF6249" w:rsidRPr="000952AD" w:rsidRDefault="00FF6249" w:rsidP="00532894">
            <w:pPr>
              <w:rPr>
                <w:sz w:val="22"/>
                <w:szCs w:val="22"/>
              </w:rPr>
            </w:pPr>
          </w:p>
          <w:p w:rsidR="00FF6249" w:rsidRPr="000952AD" w:rsidRDefault="00FF6249" w:rsidP="00532894">
            <w:pPr>
              <w:rPr>
                <w:sz w:val="22"/>
                <w:szCs w:val="22"/>
              </w:rPr>
            </w:pPr>
            <w:r w:rsidRPr="000952AD">
              <w:rPr>
                <w:sz w:val="22"/>
                <w:szCs w:val="22"/>
              </w:rPr>
              <w:t>This job description is a guide to the general range of duties assigned to the post holder. It is intended to be neither definitive nor restrictive and is subject to periodic review with the employee concerned.</w:t>
            </w:r>
          </w:p>
        </w:tc>
      </w:tr>
    </w:tbl>
    <w:p w:rsidR="00FF6249" w:rsidRPr="000952AD" w:rsidRDefault="00FF6249" w:rsidP="00FF6249">
      <w:pPr>
        <w:jc w:val="both"/>
        <w:rPr>
          <w:b/>
          <w:sz w:val="22"/>
          <w:szCs w:val="22"/>
        </w:rPr>
      </w:pPr>
    </w:p>
    <w:p w:rsidR="00FF6249" w:rsidRPr="00E1165C" w:rsidRDefault="00FF6249" w:rsidP="00FF6249">
      <w:pPr>
        <w:rPr>
          <w:noProof/>
          <w:color w:val="000099"/>
          <w:sz w:val="22"/>
          <w:szCs w:val="22"/>
          <w:lang w:val="en-IE" w:eastAsia="en-IE"/>
        </w:rPr>
      </w:pPr>
      <w:r w:rsidRPr="00E1165C">
        <w:rPr>
          <w:b/>
          <w:sz w:val="22"/>
          <w:szCs w:val="22"/>
        </w:rPr>
        <w:br w:type="page"/>
      </w:r>
    </w:p>
    <w:p w:rsidR="00FF6249" w:rsidRPr="00E1165C" w:rsidRDefault="000952AD" w:rsidP="00FF6249">
      <w:pPr>
        <w:jc w:val="center"/>
        <w:rPr>
          <w:color w:val="0070C0"/>
          <w:sz w:val="22"/>
          <w:szCs w:val="22"/>
        </w:rPr>
      </w:pPr>
      <w:r>
        <w:rPr>
          <w:b/>
          <w:color w:val="0070C0"/>
          <w:sz w:val="22"/>
          <w:szCs w:val="22"/>
        </w:rPr>
        <w:lastRenderedPageBreak/>
        <w:t xml:space="preserve">Temporary </w:t>
      </w:r>
      <w:r w:rsidR="00FF6249" w:rsidRPr="00E1165C">
        <w:rPr>
          <w:b/>
          <w:color w:val="0070C0"/>
          <w:sz w:val="22"/>
          <w:szCs w:val="22"/>
        </w:rPr>
        <w:t>Consultant General Adult Psychiatrist</w:t>
      </w:r>
      <w:r w:rsidR="00D56EF8">
        <w:rPr>
          <w:b/>
          <w:color w:val="0070C0"/>
          <w:sz w:val="22"/>
          <w:szCs w:val="22"/>
        </w:rPr>
        <w:t xml:space="preserve"> SI Substance Misuse</w:t>
      </w:r>
    </w:p>
    <w:p w:rsidR="00FF6249" w:rsidRPr="00E1165C" w:rsidRDefault="00FF6249" w:rsidP="00FF6249">
      <w:pPr>
        <w:jc w:val="center"/>
        <w:rPr>
          <w:b/>
          <w:color w:val="0070C0"/>
          <w:sz w:val="22"/>
          <w:szCs w:val="22"/>
        </w:rPr>
      </w:pPr>
      <w:r w:rsidRPr="00E1165C">
        <w:rPr>
          <w:b/>
          <w:color w:val="0070C0"/>
          <w:sz w:val="22"/>
          <w:szCs w:val="22"/>
        </w:rPr>
        <w:t>Terms and Conditions of Employment</w:t>
      </w:r>
    </w:p>
    <w:p w:rsidR="00FF6249" w:rsidRPr="00E1165C" w:rsidRDefault="00FF6249" w:rsidP="00FF6249">
      <w:pPr>
        <w:jc w:val="center"/>
        <w:rPr>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 xml:space="preserve">Tenure </w:t>
            </w:r>
          </w:p>
        </w:tc>
        <w:tc>
          <w:tcPr>
            <w:tcW w:w="8857" w:type="dxa"/>
          </w:tcPr>
          <w:p w:rsidR="00FF6249" w:rsidRPr="00E1165C" w:rsidRDefault="00FF6249" w:rsidP="00532894">
            <w:pPr>
              <w:tabs>
                <w:tab w:val="left" w:pos="-720"/>
                <w:tab w:val="left" w:pos="0"/>
                <w:tab w:val="left" w:pos="720"/>
              </w:tabs>
              <w:suppressAutoHyphens/>
              <w:jc w:val="both"/>
              <w:rPr>
                <w:color w:val="0070C0"/>
                <w:spacing w:val="-3"/>
                <w:sz w:val="22"/>
                <w:szCs w:val="22"/>
              </w:rPr>
            </w:pPr>
            <w:r w:rsidRPr="00E1165C">
              <w:rPr>
                <w:color w:val="0070C0"/>
                <w:spacing w:val="-3"/>
                <w:sz w:val="22"/>
                <w:szCs w:val="22"/>
              </w:rPr>
              <w:t>The appo</w:t>
            </w:r>
            <w:r w:rsidR="000C616E">
              <w:rPr>
                <w:color w:val="0070C0"/>
                <w:spacing w:val="-3"/>
                <w:sz w:val="22"/>
                <w:szCs w:val="22"/>
              </w:rPr>
              <w:t>intment is whole-time, temporary</w:t>
            </w:r>
            <w:r w:rsidRPr="00E1165C">
              <w:rPr>
                <w:color w:val="0070C0"/>
                <w:spacing w:val="-3"/>
                <w:sz w:val="22"/>
                <w:szCs w:val="22"/>
              </w:rPr>
              <w:t xml:space="preserve"> and pensionable</w:t>
            </w:r>
          </w:p>
          <w:p w:rsidR="00FF6249" w:rsidRPr="00E1165C" w:rsidRDefault="00FF6249" w:rsidP="00532894">
            <w:pPr>
              <w:tabs>
                <w:tab w:val="left" w:pos="-720"/>
                <w:tab w:val="left" w:pos="0"/>
                <w:tab w:val="left" w:pos="720"/>
              </w:tabs>
              <w:suppressAutoHyphens/>
              <w:jc w:val="both"/>
              <w:rPr>
                <w:color w:val="0070C0"/>
                <w:spacing w:val="-3"/>
                <w:sz w:val="22"/>
                <w:szCs w:val="22"/>
              </w:rPr>
            </w:pPr>
            <w:r w:rsidRPr="00E1165C">
              <w:rPr>
                <w:color w:val="0070C0"/>
                <w:spacing w:val="-3"/>
                <w:sz w:val="22"/>
                <w:szCs w:val="22"/>
              </w:rPr>
              <w:t>Appointment as an employee of the Health Service Executive is governed by the Health Act 2004 and the Public Service Management (Recruitment and Appointment) Act 2004.</w:t>
            </w:r>
          </w:p>
          <w:p w:rsidR="00FF6249" w:rsidRPr="00E1165C" w:rsidRDefault="00FF6249" w:rsidP="00532894">
            <w:pPr>
              <w:tabs>
                <w:tab w:val="left" w:pos="-720"/>
                <w:tab w:val="left" w:pos="0"/>
                <w:tab w:val="left" w:pos="720"/>
              </w:tabs>
              <w:suppressAutoHyphens/>
              <w:jc w:val="both"/>
              <w:rPr>
                <w:color w:val="0070C0"/>
                <w:spacing w:val="-3"/>
                <w:sz w:val="22"/>
                <w:szCs w:val="22"/>
              </w:rPr>
            </w:pPr>
          </w:p>
          <w:p w:rsidR="00FF6249" w:rsidRPr="00E1165C" w:rsidRDefault="00FF6249" w:rsidP="00532894">
            <w:pPr>
              <w:tabs>
                <w:tab w:val="left" w:pos="-720"/>
                <w:tab w:val="left" w:pos="0"/>
                <w:tab w:val="left" w:pos="720"/>
              </w:tabs>
              <w:suppressAutoHyphens/>
              <w:jc w:val="both"/>
              <w:rPr>
                <w:color w:val="0070C0"/>
                <w:spacing w:val="-3"/>
                <w:sz w:val="22"/>
                <w:szCs w:val="22"/>
              </w:rPr>
            </w:pPr>
            <w:r w:rsidRPr="00E1165C">
              <w:rPr>
                <w:color w:val="0070C0"/>
                <w:spacing w:val="-3"/>
                <w:sz w:val="22"/>
                <w:szCs w:val="22"/>
              </w:rPr>
              <w:t>A panel may be f</w:t>
            </w:r>
            <w:r w:rsidR="00D56EF8">
              <w:rPr>
                <w:color w:val="0070C0"/>
                <w:spacing w:val="-3"/>
                <w:sz w:val="22"/>
                <w:szCs w:val="22"/>
              </w:rPr>
              <w:t>ormed from which other temporary</w:t>
            </w:r>
            <w:r w:rsidRPr="00E1165C">
              <w:rPr>
                <w:color w:val="0070C0"/>
                <w:spacing w:val="-3"/>
                <w:sz w:val="22"/>
                <w:szCs w:val="22"/>
              </w:rPr>
              <w:t xml:space="preserve"> vacancies for Consultant General Adult Psychiatrist </w:t>
            </w:r>
            <w:r w:rsidR="00D56EF8">
              <w:rPr>
                <w:color w:val="0070C0"/>
                <w:spacing w:val="-3"/>
                <w:sz w:val="22"/>
                <w:szCs w:val="22"/>
              </w:rPr>
              <w:t xml:space="preserve">SI Substance Misuse </w:t>
            </w:r>
            <w:r w:rsidRPr="00E1165C">
              <w:rPr>
                <w:color w:val="0070C0"/>
                <w:spacing w:val="-3"/>
                <w:sz w:val="22"/>
                <w:szCs w:val="22"/>
              </w:rPr>
              <w:t>at MHS Waterford for 37 hours per week may be filled.</w:t>
            </w:r>
          </w:p>
          <w:p w:rsidR="00FF6249" w:rsidRPr="00E1165C" w:rsidRDefault="00FF6249" w:rsidP="00532894">
            <w:pPr>
              <w:tabs>
                <w:tab w:val="left" w:pos="-720"/>
                <w:tab w:val="left" w:pos="0"/>
                <w:tab w:val="left" w:pos="720"/>
              </w:tabs>
              <w:suppressAutoHyphens/>
              <w:jc w:val="both"/>
              <w:rPr>
                <w:color w:val="0070C0"/>
                <w:spacing w:val="-3"/>
                <w:sz w:val="22"/>
                <w:szCs w:val="22"/>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 xml:space="preserve">Remuneration </w:t>
            </w:r>
          </w:p>
        </w:tc>
        <w:tc>
          <w:tcPr>
            <w:tcW w:w="8857" w:type="dxa"/>
          </w:tcPr>
          <w:p w:rsidR="00FF6249" w:rsidRPr="00E1165C" w:rsidRDefault="00FF6249" w:rsidP="00532894">
            <w:pPr>
              <w:rPr>
                <w:color w:val="0070C0"/>
                <w:sz w:val="22"/>
                <w:szCs w:val="22"/>
              </w:rPr>
            </w:pPr>
            <w:r w:rsidRPr="00E1165C">
              <w:rPr>
                <w:color w:val="0070C0"/>
                <w:sz w:val="22"/>
                <w:szCs w:val="22"/>
              </w:rPr>
              <w:t>The annual salary will be as set out in the Public Only Consultants’ Contract 2023. Medical Consultants Salary Scales from 1st August 2025:</w:t>
            </w:r>
          </w:p>
          <w:p w:rsidR="00FF6249" w:rsidRPr="00E1165C" w:rsidRDefault="00FF6249" w:rsidP="00532894">
            <w:pPr>
              <w:rPr>
                <w:color w:val="0070C0"/>
                <w:sz w:val="22"/>
                <w:szCs w:val="22"/>
              </w:rPr>
            </w:pPr>
          </w:p>
          <w:p w:rsidR="00FF6249" w:rsidRPr="00E1165C" w:rsidRDefault="00FF6249" w:rsidP="00532894">
            <w:pPr>
              <w:rPr>
                <w:b/>
                <w:color w:val="0070C0"/>
                <w:sz w:val="22"/>
                <w:szCs w:val="22"/>
              </w:rPr>
            </w:pPr>
            <w:r w:rsidRPr="00E1165C">
              <w:rPr>
                <w:b/>
                <w:color w:val="0070C0"/>
                <w:sz w:val="22"/>
                <w:szCs w:val="22"/>
              </w:rPr>
              <w:t>€233,527</w:t>
            </w:r>
            <w:r w:rsidRPr="00E1165C">
              <w:rPr>
                <w:b/>
                <w:color w:val="0070C0"/>
                <w:sz w:val="22"/>
                <w:szCs w:val="22"/>
                <w:lang w:val="en-IE"/>
              </w:rPr>
              <w:t xml:space="preserve">     </w:t>
            </w:r>
            <w:r w:rsidRPr="00E1165C">
              <w:rPr>
                <w:b/>
                <w:color w:val="0070C0"/>
                <w:sz w:val="22"/>
                <w:szCs w:val="22"/>
              </w:rPr>
              <w:t xml:space="preserve">€246,150 </w:t>
            </w:r>
            <w:r w:rsidRPr="00E1165C">
              <w:rPr>
                <w:b/>
                <w:color w:val="0070C0"/>
                <w:sz w:val="22"/>
                <w:szCs w:val="22"/>
                <w:lang w:val="en-IE"/>
              </w:rPr>
              <w:t xml:space="preserve">     </w:t>
            </w:r>
            <w:r w:rsidRPr="00E1165C">
              <w:rPr>
                <w:b/>
                <w:color w:val="0070C0"/>
                <w:sz w:val="22"/>
                <w:szCs w:val="22"/>
              </w:rPr>
              <w:t>€259,475</w:t>
            </w:r>
            <w:r w:rsidRPr="00E1165C">
              <w:rPr>
                <w:b/>
                <w:color w:val="0070C0"/>
                <w:sz w:val="22"/>
                <w:szCs w:val="22"/>
                <w:lang w:val="en-IE"/>
              </w:rPr>
              <w:t xml:space="preserve">     </w:t>
            </w:r>
            <w:r w:rsidRPr="00E1165C">
              <w:rPr>
                <w:b/>
                <w:color w:val="0070C0"/>
                <w:sz w:val="22"/>
                <w:szCs w:val="22"/>
              </w:rPr>
              <w:t>€266,489</w:t>
            </w:r>
            <w:r w:rsidRPr="00E1165C">
              <w:rPr>
                <w:b/>
                <w:color w:val="0070C0"/>
                <w:sz w:val="22"/>
                <w:szCs w:val="22"/>
                <w:lang w:val="en-IE"/>
              </w:rPr>
              <w:t xml:space="preserve">     </w:t>
            </w:r>
            <w:r w:rsidRPr="00E1165C">
              <w:rPr>
                <w:b/>
                <w:color w:val="0070C0"/>
                <w:sz w:val="22"/>
                <w:szCs w:val="22"/>
              </w:rPr>
              <w:t>€273,501</w:t>
            </w:r>
            <w:r w:rsidRPr="00E1165C">
              <w:rPr>
                <w:b/>
                <w:color w:val="0070C0"/>
                <w:sz w:val="22"/>
                <w:szCs w:val="22"/>
                <w:lang w:val="en-IE"/>
              </w:rPr>
              <w:t xml:space="preserve">     </w:t>
            </w:r>
            <w:r w:rsidRPr="00E1165C">
              <w:rPr>
                <w:b/>
                <w:color w:val="0070C0"/>
                <w:sz w:val="22"/>
                <w:szCs w:val="22"/>
              </w:rPr>
              <w:t>€280,513</w:t>
            </w:r>
          </w:p>
          <w:p w:rsidR="00FF6249" w:rsidRPr="00E1165C" w:rsidRDefault="00FF6249" w:rsidP="00532894">
            <w:pPr>
              <w:rPr>
                <w:color w:val="0070C0"/>
                <w:sz w:val="22"/>
                <w:szCs w:val="22"/>
              </w:rPr>
            </w:pPr>
          </w:p>
          <w:p w:rsidR="00FF6249" w:rsidRPr="00E1165C" w:rsidRDefault="00FF6249" w:rsidP="00532894">
            <w:pPr>
              <w:rPr>
                <w:color w:val="0070C0"/>
                <w:sz w:val="22"/>
                <w:szCs w:val="22"/>
              </w:rPr>
            </w:pPr>
            <w:r w:rsidRPr="00E1165C">
              <w:rPr>
                <w:color w:val="0070C0"/>
                <w:sz w:val="22"/>
                <w:szCs w:val="22"/>
              </w:rPr>
              <w:t xml:space="preserve">Incremental credit is awarded in respect of previous experience at Consultant level. </w:t>
            </w:r>
          </w:p>
          <w:p w:rsidR="00FF6249" w:rsidRPr="00E1165C" w:rsidRDefault="00FF6249" w:rsidP="00532894">
            <w:pPr>
              <w:rPr>
                <w:color w:val="0070C0"/>
                <w:sz w:val="22"/>
                <w:szCs w:val="22"/>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Working Week</w:t>
            </w:r>
          </w:p>
          <w:p w:rsidR="00FF6249" w:rsidRPr="00E1165C" w:rsidRDefault="00FF6249" w:rsidP="00532894">
            <w:pPr>
              <w:jc w:val="both"/>
              <w:rPr>
                <w:b/>
                <w:bCs/>
                <w:color w:val="0070C0"/>
                <w:sz w:val="22"/>
                <w:szCs w:val="22"/>
              </w:rPr>
            </w:pPr>
          </w:p>
        </w:tc>
        <w:tc>
          <w:tcPr>
            <w:tcW w:w="8857" w:type="dxa"/>
          </w:tcPr>
          <w:p w:rsidR="00FF6249" w:rsidRPr="00E1165C" w:rsidRDefault="00FF6249" w:rsidP="00532894">
            <w:pPr>
              <w:jc w:val="both"/>
              <w:rPr>
                <w:bCs/>
                <w:iCs/>
                <w:color w:val="0070C0"/>
                <w:sz w:val="22"/>
                <w:szCs w:val="22"/>
                <w:lang w:val="en-IE" w:eastAsia="en-IE"/>
              </w:rPr>
            </w:pPr>
            <w:r w:rsidRPr="00E1165C">
              <w:rPr>
                <w:color w:val="0070C0"/>
                <w:sz w:val="22"/>
                <w:szCs w:val="22"/>
              </w:rPr>
              <w:t>The standard working week applying to the post is: 37 hours per week</w:t>
            </w:r>
            <w:r w:rsidRPr="00E1165C">
              <w:rPr>
                <w:bCs/>
                <w:iCs/>
                <w:color w:val="0070C0"/>
                <w:sz w:val="22"/>
                <w:szCs w:val="22"/>
                <w:lang w:val="en-IE" w:eastAsia="en-IE"/>
              </w:rPr>
              <w:t xml:space="preserve"> </w:t>
            </w:r>
          </w:p>
          <w:p w:rsidR="00FF6249" w:rsidRPr="00E1165C" w:rsidRDefault="00FF6249" w:rsidP="00532894">
            <w:pPr>
              <w:jc w:val="both"/>
              <w:rPr>
                <w:bCs/>
                <w:iCs/>
                <w:color w:val="0070C0"/>
                <w:sz w:val="22"/>
                <w:szCs w:val="22"/>
                <w:lang w:val="en-IE" w:eastAsia="en-IE"/>
              </w:rPr>
            </w:pPr>
          </w:p>
          <w:p w:rsidR="00FF6249" w:rsidRPr="00E1165C" w:rsidRDefault="00FF6249" w:rsidP="00532894">
            <w:pPr>
              <w:jc w:val="both"/>
              <w:rPr>
                <w:b/>
                <w:color w:val="FF0000"/>
                <w:sz w:val="22"/>
                <w:szCs w:val="22"/>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Annual Leave</w:t>
            </w:r>
          </w:p>
        </w:tc>
        <w:tc>
          <w:tcPr>
            <w:tcW w:w="8857" w:type="dxa"/>
          </w:tcPr>
          <w:p w:rsidR="00FF6249" w:rsidRPr="00E1165C" w:rsidRDefault="00FF6249" w:rsidP="00532894">
            <w:pPr>
              <w:jc w:val="both"/>
              <w:rPr>
                <w:color w:val="0070C0"/>
                <w:sz w:val="22"/>
                <w:szCs w:val="22"/>
              </w:rPr>
            </w:pPr>
            <w:r w:rsidRPr="00E1165C">
              <w:rPr>
                <w:color w:val="0070C0"/>
                <w:sz w:val="22"/>
                <w:szCs w:val="22"/>
              </w:rPr>
              <w:t>The annual leave associated with the post is: 30 Working Days per annum and as determined by the Organisation of Working Time Act 1997</w:t>
            </w:r>
          </w:p>
          <w:p w:rsidR="00FF6249" w:rsidRPr="00E1165C" w:rsidRDefault="00FF6249" w:rsidP="00532894">
            <w:pPr>
              <w:jc w:val="both"/>
              <w:rPr>
                <w:b/>
                <w:color w:val="FF0000"/>
                <w:sz w:val="22"/>
                <w:szCs w:val="22"/>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Superannuation</w:t>
            </w:r>
          </w:p>
          <w:p w:rsidR="00FF6249" w:rsidRPr="00E1165C" w:rsidRDefault="00FF6249" w:rsidP="00532894">
            <w:pPr>
              <w:jc w:val="both"/>
              <w:rPr>
                <w:b/>
                <w:bCs/>
                <w:color w:val="0000FF"/>
                <w:sz w:val="22"/>
                <w:szCs w:val="22"/>
              </w:rPr>
            </w:pPr>
          </w:p>
          <w:p w:rsidR="00FF6249" w:rsidRPr="00E1165C" w:rsidRDefault="00FF6249" w:rsidP="00532894">
            <w:pPr>
              <w:jc w:val="both"/>
              <w:rPr>
                <w:b/>
                <w:bCs/>
                <w:color w:val="0000FF"/>
                <w:sz w:val="22"/>
                <w:szCs w:val="22"/>
              </w:rPr>
            </w:pPr>
          </w:p>
        </w:tc>
        <w:tc>
          <w:tcPr>
            <w:tcW w:w="8857" w:type="dxa"/>
          </w:tcPr>
          <w:p w:rsidR="00FF6249" w:rsidRPr="00E1165C" w:rsidRDefault="00FF6249" w:rsidP="00532894">
            <w:pPr>
              <w:autoSpaceDE w:val="0"/>
              <w:autoSpaceDN w:val="0"/>
              <w:adjustRightInd w:val="0"/>
              <w:spacing w:line="240" w:lineRule="atLeast"/>
              <w:jc w:val="both"/>
              <w:rPr>
                <w:color w:val="0070C0"/>
                <w:sz w:val="22"/>
                <w:szCs w:val="22"/>
                <w:lang w:val="en-IE" w:eastAsia="en-IE"/>
              </w:rPr>
            </w:pPr>
            <w:r w:rsidRPr="00E1165C">
              <w:rPr>
                <w:color w:val="0070C0"/>
                <w:sz w:val="22"/>
                <w:szCs w:val="22"/>
                <w:lang w:val="en-IE" w:eastAsia="en-IE"/>
              </w:rPr>
              <w:t xml:space="preserve">This is a pensionable position within the </w:t>
            </w:r>
            <w:smartTag w:uri="urn:schemas-microsoft-com:office:smarttags" w:element="stockticker">
              <w:r w:rsidRPr="00E1165C">
                <w:rPr>
                  <w:color w:val="0070C0"/>
                  <w:sz w:val="22"/>
                  <w:szCs w:val="22"/>
                  <w:lang w:val="en-IE" w:eastAsia="en-IE"/>
                </w:rPr>
                <w:t>HSE</w:t>
              </w:r>
            </w:smartTag>
            <w:r w:rsidRPr="00E1165C">
              <w:rPr>
                <w:color w:val="0070C0"/>
                <w:sz w:val="22"/>
                <w:szCs w:val="22"/>
                <w:lang w:val="en-IE" w:eastAsia="en-IE"/>
              </w:rPr>
              <w:t>. The successful candidate will upon appointment become a member of the appropriate pension scheme. Please be advised that pension scheme membership will be notified within the contract of employment.</w:t>
            </w:r>
          </w:p>
          <w:p w:rsidR="00FF6249" w:rsidRPr="00E1165C" w:rsidRDefault="00FF6249" w:rsidP="00532894">
            <w:pPr>
              <w:autoSpaceDE w:val="0"/>
              <w:autoSpaceDN w:val="0"/>
              <w:adjustRightInd w:val="0"/>
              <w:spacing w:line="240" w:lineRule="atLeast"/>
              <w:jc w:val="both"/>
              <w:rPr>
                <w:color w:val="0070C0"/>
                <w:sz w:val="22"/>
                <w:szCs w:val="22"/>
              </w:rPr>
            </w:pPr>
            <w:r w:rsidRPr="00E1165C">
              <w:rPr>
                <w:color w:val="0070C0"/>
                <w:sz w:val="22"/>
                <w:szCs w:val="22"/>
                <w:lang w:val="en-IE" w:eastAsia="en-IE"/>
              </w:rPr>
              <w:t xml:space="preserve">Members of pre-existing pension schemes who transferred to the </w:t>
            </w:r>
            <w:smartTag w:uri="urn:schemas-microsoft-com:office:smarttags" w:element="stockticker">
              <w:r w:rsidRPr="00E1165C">
                <w:rPr>
                  <w:color w:val="0070C0"/>
                  <w:sz w:val="22"/>
                  <w:szCs w:val="22"/>
                  <w:lang w:val="en-IE" w:eastAsia="en-IE"/>
                </w:rPr>
                <w:t>HSE</w:t>
              </w:r>
            </w:smartTag>
            <w:r w:rsidRPr="00E1165C">
              <w:rPr>
                <w:color w:val="0070C0"/>
                <w:sz w:val="22"/>
                <w:szCs w:val="22"/>
                <w:lang w:val="en-IE" w:eastAsia="en-IE"/>
              </w:rPr>
              <w:t xml:space="preserve"> on 1st January 2005 pursuant to Section 60 of the Health Act 2004 are entitled to superannuation benefit terms under the </w:t>
            </w:r>
            <w:smartTag w:uri="urn:schemas-microsoft-com:office:smarttags" w:element="stockticker">
              <w:r w:rsidRPr="00E1165C">
                <w:rPr>
                  <w:color w:val="0070C0"/>
                  <w:sz w:val="22"/>
                  <w:szCs w:val="22"/>
                  <w:lang w:val="en-IE" w:eastAsia="en-IE"/>
                </w:rPr>
                <w:t>HSE</w:t>
              </w:r>
            </w:smartTag>
            <w:r w:rsidRPr="00E1165C">
              <w:rPr>
                <w:color w:val="0070C0"/>
                <w:sz w:val="22"/>
                <w:szCs w:val="22"/>
                <w:lang w:val="en-IE" w:eastAsia="en-IE"/>
              </w:rPr>
              <w:t xml:space="preserve"> Scheme which are no less favourable to those to which they were entitled at 31st December 2004.</w:t>
            </w:r>
            <w:r w:rsidRPr="00E1165C">
              <w:rPr>
                <w:color w:val="0070C0"/>
                <w:sz w:val="22"/>
                <w:szCs w:val="22"/>
              </w:rPr>
              <w:t xml:space="preserve"> </w:t>
            </w:r>
          </w:p>
          <w:p w:rsidR="00FF6249" w:rsidRPr="00E1165C" w:rsidRDefault="00FF6249" w:rsidP="00532894">
            <w:pPr>
              <w:autoSpaceDE w:val="0"/>
              <w:autoSpaceDN w:val="0"/>
              <w:adjustRightInd w:val="0"/>
              <w:spacing w:line="240" w:lineRule="atLeast"/>
              <w:rPr>
                <w:b/>
                <w:color w:val="FF0000"/>
                <w:sz w:val="22"/>
                <w:szCs w:val="22"/>
                <w:lang w:val="en-IE" w:eastAsia="en-IE"/>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Age</w:t>
            </w:r>
          </w:p>
        </w:tc>
        <w:tc>
          <w:tcPr>
            <w:tcW w:w="8857" w:type="dxa"/>
          </w:tcPr>
          <w:p w:rsidR="00FF6249" w:rsidRPr="00E1165C" w:rsidRDefault="00FF6249" w:rsidP="00532894">
            <w:pPr>
              <w:autoSpaceDE w:val="0"/>
              <w:autoSpaceDN w:val="0"/>
              <w:adjustRightInd w:val="0"/>
              <w:rPr>
                <w:rFonts w:eastAsia="Calibri"/>
                <w:i/>
                <w:iCs/>
                <w:color w:val="0070C0"/>
                <w:sz w:val="22"/>
                <w:szCs w:val="22"/>
                <w:lang w:val="en-IE" w:eastAsia="en-US"/>
              </w:rPr>
            </w:pPr>
            <w:r w:rsidRPr="00E1165C">
              <w:rPr>
                <w:rFonts w:eastAsia="Calibri"/>
                <w:color w:val="0070C0"/>
                <w:sz w:val="22"/>
                <w:szCs w:val="22"/>
                <w:lang w:val="en-IE" w:eastAsia="en-US"/>
              </w:rPr>
              <w:t>The Public Service Superannuation (Age of Retirement) Act, 2018* set 70 years as the compulsory retirement age for public servants.</w:t>
            </w:r>
            <w:r w:rsidRPr="00E1165C">
              <w:rPr>
                <w:rFonts w:eastAsia="Calibri"/>
                <w:i/>
                <w:iCs/>
                <w:color w:val="0070C0"/>
                <w:sz w:val="22"/>
                <w:szCs w:val="22"/>
                <w:lang w:val="en-IE" w:eastAsia="en-US"/>
              </w:rPr>
              <w:t xml:space="preserve"> </w:t>
            </w:r>
          </w:p>
          <w:p w:rsidR="00FF6249" w:rsidRPr="00E1165C" w:rsidRDefault="00FF6249" w:rsidP="00532894">
            <w:pPr>
              <w:autoSpaceDE w:val="0"/>
              <w:autoSpaceDN w:val="0"/>
              <w:adjustRightInd w:val="0"/>
              <w:rPr>
                <w:rFonts w:eastAsia="Calibri"/>
                <w:i/>
                <w:iCs/>
                <w:color w:val="0070C0"/>
                <w:sz w:val="22"/>
                <w:szCs w:val="22"/>
                <w:lang w:val="en-IE" w:eastAsia="en-US"/>
              </w:rPr>
            </w:pPr>
          </w:p>
          <w:p w:rsidR="00FF6249" w:rsidRPr="00E1165C" w:rsidRDefault="00FF6249" w:rsidP="00532894">
            <w:pPr>
              <w:autoSpaceDE w:val="0"/>
              <w:autoSpaceDN w:val="0"/>
              <w:adjustRightInd w:val="0"/>
              <w:rPr>
                <w:rFonts w:eastAsia="Calibri"/>
                <w:b/>
                <w:bCs/>
                <w:i/>
                <w:iCs/>
                <w:color w:val="0070C0"/>
                <w:sz w:val="22"/>
                <w:szCs w:val="22"/>
                <w:u w:val="single"/>
                <w:lang w:val="en-IE" w:eastAsia="en-US"/>
              </w:rPr>
            </w:pPr>
            <w:r w:rsidRPr="00E1165C">
              <w:rPr>
                <w:rFonts w:eastAsia="Calibri"/>
                <w:b/>
                <w:bCs/>
                <w:i/>
                <w:iCs/>
                <w:color w:val="0070C0"/>
                <w:sz w:val="22"/>
                <w:szCs w:val="22"/>
                <w:lang w:val="en-IE" w:eastAsia="en-US"/>
              </w:rPr>
              <w:t xml:space="preserve">* </w:t>
            </w:r>
            <w:r w:rsidRPr="00E1165C">
              <w:rPr>
                <w:rFonts w:eastAsia="Calibri"/>
                <w:b/>
                <w:bCs/>
                <w:i/>
                <w:iCs/>
                <w:color w:val="0070C0"/>
                <w:sz w:val="22"/>
                <w:szCs w:val="22"/>
                <w:u w:val="single"/>
                <w:lang w:val="en-IE" w:eastAsia="en-US"/>
              </w:rPr>
              <w:t>Public Servants not affected by this legislation:</w:t>
            </w:r>
          </w:p>
          <w:p w:rsidR="00FF6249" w:rsidRPr="00E1165C" w:rsidRDefault="00FF6249" w:rsidP="00532894">
            <w:pPr>
              <w:autoSpaceDE w:val="0"/>
              <w:autoSpaceDN w:val="0"/>
              <w:adjustRightInd w:val="0"/>
              <w:rPr>
                <w:rFonts w:eastAsia="Calibri"/>
                <w:color w:val="0070C0"/>
                <w:sz w:val="22"/>
                <w:szCs w:val="22"/>
                <w:lang w:val="en-IE" w:eastAsia="en-US"/>
              </w:rPr>
            </w:pPr>
            <w:r w:rsidRPr="00E1165C">
              <w:rPr>
                <w:rFonts w:eastAsia="Calibri"/>
                <w:color w:val="0070C0"/>
                <w:sz w:val="22"/>
                <w:szCs w:val="22"/>
                <w:lang w:val="en-IE" w:eastAsia="en-US"/>
              </w:rPr>
              <w:t>Public servants recruited between 1 April 2004 and 31 December 2012 (new entrants) have no compulsory retirement age.</w:t>
            </w:r>
          </w:p>
          <w:p w:rsidR="00FF6249" w:rsidRPr="00E1165C" w:rsidRDefault="00FF6249" w:rsidP="00532894">
            <w:pPr>
              <w:autoSpaceDE w:val="0"/>
              <w:autoSpaceDN w:val="0"/>
              <w:adjustRightInd w:val="0"/>
              <w:rPr>
                <w:rFonts w:eastAsia="Calibri"/>
                <w:color w:val="0070C0"/>
                <w:sz w:val="22"/>
                <w:szCs w:val="22"/>
                <w:lang w:val="en-IE" w:eastAsia="en-US"/>
              </w:rPr>
            </w:pPr>
          </w:p>
          <w:p w:rsidR="00FF6249" w:rsidRPr="00E1165C" w:rsidRDefault="00FF6249" w:rsidP="00532894">
            <w:pPr>
              <w:pStyle w:val="Default"/>
              <w:rPr>
                <w:rFonts w:ascii="Times New Roman" w:hAnsi="Times New Roman" w:cs="Times New Roman"/>
                <w:color w:val="0070C0"/>
                <w:sz w:val="22"/>
                <w:szCs w:val="22"/>
              </w:rPr>
            </w:pPr>
            <w:r w:rsidRPr="00E1165C">
              <w:rPr>
                <w:rFonts w:ascii="Times New Roman" w:hAnsi="Times New Roman" w:cs="Times New Roman"/>
                <w:color w:val="0070C0"/>
                <w:sz w:val="22"/>
                <w:szCs w:val="22"/>
              </w:rPr>
              <w:t>Public servants recruited since 1 January 2013 are members of the Single Pension Scheme and have a compulsory retirement age of 70.</w:t>
            </w:r>
          </w:p>
          <w:p w:rsidR="00FF6249" w:rsidRPr="00E1165C" w:rsidRDefault="00FF6249" w:rsidP="00532894">
            <w:pPr>
              <w:pStyle w:val="Default"/>
              <w:rPr>
                <w:rFonts w:ascii="Times New Roman" w:hAnsi="Times New Roman" w:cs="Times New Roman"/>
                <w:b/>
                <w:color w:val="0070C0"/>
                <w:sz w:val="22"/>
                <w:szCs w:val="22"/>
              </w:rPr>
            </w:pPr>
          </w:p>
        </w:tc>
      </w:tr>
      <w:tr w:rsidR="00FF6249" w:rsidRPr="00E1165C" w:rsidTr="00532894">
        <w:tc>
          <w:tcPr>
            <w:tcW w:w="1739" w:type="dxa"/>
          </w:tcPr>
          <w:p w:rsidR="00FF6249" w:rsidRPr="00E1165C" w:rsidRDefault="00FF6249" w:rsidP="00532894">
            <w:pPr>
              <w:jc w:val="both"/>
              <w:rPr>
                <w:b/>
                <w:bCs/>
                <w:color w:val="0070C0"/>
                <w:sz w:val="22"/>
                <w:szCs w:val="22"/>
              </w:rPr>
            </w:pPr>
            <w:r w:rsidRPr="00E1165C">
              <w:rPr>
                <w:b/>
                <w:bCs/>
                <w:color w:val="0070C0"/>
                <w:sz w:val="22"/>
                <w:szCs w:val="22"/>
              </w:rPr>
              <w:t>Probation</w:t>
            </w:r>
          </w:p>
        </w:tc>
        <w:tc>
          <w:tcPr>
            <w:tcW w:w="8857" w:type="dxa"/>
          </w:tcPr>
          <w:p w:rsidR="00FF6249" w:rsidRPr="00E1165C" w:rsidRDefault="00FF6249" w:rsidP="00532894">
            <w:pPr>
              <w:pStyle w:val="Heading7"/>
              <w:rPr>
                <w:rFonts w:ascii="Times New Roman" w:hAnsi="Times New Roman"/>
                <w:b w:val="0"/>
                <w:color w:val="0070C0"/>
                <w:spacing w:val="0"/>
                <w:sz w:val="22"/>
                <w:szCs w:val="22"/>
                <w:lang w:val="en-IE" w:eastAsia="en-IE"/>
              </w:rPr>
            </w:pPr>
            <w:r w:rsidRPr="00E1165C">
              <w:rPr>
                <w:rFonts w:ascii="Times New Roman" w:hAnsi="Times New Roman"/>
                <w:b w:val="0"/>
                <w:color w:val="0070C0"/>
                <w:spacing w:val="0"/>
                <w:sz w:val="22"/>
                <w:szCs w:val="22"/>
                <w:lang w:val="en-IE" w:eastAsia="en-IE"/>
              </w:rPr>
              <w:t>Permanent</w:t>
            </w:r>
            <w:r w:rsidR="00D56EF8">
              <w:rPr>
                <w:rFonts w:ascii="Times New Roman" w:hAnsi="Times New Roman"/>
                <w:b w:val="0"/>
                <w:color w:val="0070C0"/>
                <w:spacing w:val="0"/>
                <w:sz w:val="22"/>
                <w:szCs w:val="22"/>
                <w:lang w:val="en-IE" w:eastAsia="en-IE"/>
              </w:rPr>
              <w:t>/temporary/locum</w:t>
            </w:r>
            <w:r w:rsidRPr="00E1165C">
              <w:rPr>
                <w:rFonts w:ascii="Times New Roman" w:hAnsi="Times New Roman"/>
                <w:b w:val="0"/>
                <w:color w:val="0070C0"/>
                <w:spacing w:val="0"/>
                <w:sz w:val="22"/>
                <w:szCs w:val="22"/>
                <w:lang w:val="en-IE" w:eastAsia="en-IE"/>
              </w:rPr>
              <w:t xml:space="preserve">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FF6249" w:rsidRPr="00E1165C" w:rsidRDefault="00FF6249" w:rsidP="00532894">
            <w:pPr>
              <w:rPr>
                <w:sz w:val="22"/>
                <w:szCs w:val="22"/>
                <w:lang w:val="en-IE" w:eastAsia="en-IE"/>
              </w:rPr>
            </w:pPr>
          </w:p>
          <w:p w:rsidR="00FF6249" w:rsidRPr="00E1165C" w:rsidRDefault="00FF6249" w:rsidP="00532894">
            <w:pPr>
              <w:rPr>
                <w:color w:val="0070C0"/>
                <w:sz w:val="22"/>
                <w:szCs w:val="22"/>
                <w:lang w:val="en-IE" w:eastAsia="en-IE"/>
              </w:rPr>
            </w:pPr>
            <w:r w:rsidRPr="00E1165C">
              <w:rPr>
                <w:color w:val="0070C0"/>
                <w:sz w:val="22"/>
                <w:szCs w:val="22"/>
                <w:lang w:val="en-IE" w:eastAsia="en-IE"/>
              </w:rPr>
              <w:t>A probationary period will not apply in the following instances:</w:t>
            </w:r>
          </w:p>
          <w:p w:rsidR="00FF6249" w:rsidRPr="00E1165C" w:rsidRDefault="00FF6249" w:rsidP="00FF6249">
            <w:pPr>
              <w:numPr>
                <w:ilvl w:val="0"/>
                <w:numId w:val="9"/>
              </w:numPr>
              <w:jc w:val="both"/>
              <w:rPr>
                <w:color w:val="0070C0"/>
                <w:sz w:val="22"/>
                <w:szCs w:val="22"/>
                <w:lang w:val="en-IE" w:eastAsia="en-IE"/>
              </w:rPr>
            </w:pPr>
            <w:r w:rsidRPr="00E1165C">
              <w:rPr>
                <w:color w:val="0070C0"/>
                <w:sz w:val="22"/>
                <w:szCs w:val="22"/>
                <w:lang w:val="en-IE"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FF6249" w:rsidRPr="00E1165C" w:rsidRDefault="00FF6249" w:rsidP="00FF6249">
            <w:pPr>
              <w:numPr>
                <w:ilvl w:val="0"/>
                <w:numId w:val="9"/>
              </w:numPr>
              <w:jc w:val="both"/>
              <w:rPr>
                <w:color w:val="0070C0"/>
                <w:sz w:val="22"/>
                <w:szCs w:val="22"/>
                <w:lang w:val="en-IE" w:eastAsia="en-IE"/>
              </w:rPr>
            </w:pPr>
            <w:r w:rsidRPr="00E1165C">
              <w:rPr>
                <w:color w:val="0070C0"/>
                <w:sz w:val="22"/>
                <w:szCs w:val="22"/>
                <w:lang w:val="en-IE"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E1165C">
              <w:rPr>
                <w:color w:val="0070C0"/>
                <w:sz w:val="22"/>
                <w:szCs w:val="22"/>
                <w:lang w:val="en-IE" w:eastAsia="en-IE"/>
              </w:rPr>
              <w:t>and the Commencement Date is not more than 26 weeks (or such longer period, if any, as the Employee was on a pre-approved career break for the duration of that longer period).</w:t>
            </w:r>
          </w:p>
          <w:bookmarkEnd w:id="2"/>
          <w:p w:rsidR="00FF6249" w:rsidRPr="00E1165C" w:rsidRDefault="00FF6249" w:rsidP="00FF6249">
            <w:pPr>
              <w:numPr>
                <w:ilvl w:val="0"/>
                <w:numId w:val="9"/>
              </w:numPr>
              <w:jc w:val="both"/>
              <w:rPr>
                <w:color w:val="0070C0"/>
                <w:sz w:val="22"/>
                <w:szCs w:val="22"/>
                <w:lang w:val="en-IE" w:eastAsia="en-IE"/>
              </w:rPr>
            </w:pPr>
            <w:r w:rsidRPr="00E1165C">
              <w:rPr>
                <w:color w:val="0070C0"/>
                <w:sz w:val="22"/>
                <w:szCs w:val="22"/>
                <w:lang w:val="en-IE" w:eastAsia="en-IE"/>
              </w:rPr>
              <w:t xml:space="preserve">Where the Employee has, for a period of not less than 12 months, held this post (ie the post to which this contract relates) on a temporary basis pending the filling of this post on a permanent basis and the Commencement Date is not more than 26 weeks after the termination </w:t>
            </w:r>
            <w:r w:rsidRPr="00E1165C">
              <w:rPr>
                <w:color w:val="0070C0"/>
                <w:sz w:val="22"/>
                <w:szCs w:val="22"/>
                <w:lang w:val="en-IE" w:eastAsia="en-IE"/>
              </w:rPr>
              <w:lastRenderedPageBreak/>
              <w:t>of the temporary contract under which the Employee held this post (or a longer period, if any, as the Employee was on a pre-approved career break for the duration of that longer period).</w:t>
            </w:r>
          </w:p>
        </w:tc>
      </w:tr>
      <w:tr w:rsidR="00FF6249" w:rsidRPr="00E1165C" w:rsidTr="00532894">
        <w:trPr>
          <w:trHeight w:val="1579"/>
        </w:trPr>
        <w:tc>
          <w:tcPr>
            <w:tcW w:w="1739" w:type="dxa"/>
          </w:tcPr>
          <w:p w:rsidR="00FF6249" w:rsidRPr="00E1165C" w:rsidRDefault="00FF6249" w:rsidP="00532894">
            <w:pPr>
              <w:jc w:val="both"/>
              <w:rPr>
                <w:b/>
                <w:bCs/>
                <w:color w:val="0070C0"/>
                <w:sz w:val="22"/>
                <w:szCs w:val="22"/>
              </w:rPr>
            </w:pPr>
            <w:r w:rsidRPr="00E1165C">
              <w:rPr>
                <w:b/>
                <w:bCs/>
                <w:color w:val="0070C0"/>
                <w:sz w:val="22"/>
                <w:szCs w:val="22"/>
                <w:lang w:val="en-IE" w:eastAsia="en-IE"/>
              </w:rPr>
              <w:lastRenderedPageBreak/>
              <w:t>Protection of Children Guidance and Legislation</w:t>
            </w:r>
          </w:p>
        </w:tc>
        <w:tc>
          <w:tcPr>
            <w:tcW w:w="8857" w:type="dxa"/>
          </w:tcPr>
          <w:p w:rsidR="00FF6249" w:rsidRPr="00E1165C" w:rsidRDefault="00FF6249" w:rsidP="00532894">
            <w:pPr>
              <w:rPr>
                <w:color w:val="0070C0"/>
                <w:sz w:val="22"/>
                <w:szCs w:val="22"/>
                <w:lang w:val="en-IE" w:eastAsia="en-IE"/>
              </w:rPr>
            </w:pPr>
            <w:r w:rsidRPr="00E1165C">
              <w:rPr>
                <w:color w:val="0070C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FF6249" w:rsidRPr="00E1165C" w:rsidRDefault="00FF6249" w:rsidP="00532894">
            <w:pPr>
              <w:rPr>
                <w:color w:val="0070C0"/>
                <w:sz w:val="22"/>
                <w:szCs w:val="22"/>
                <w:lang w:val="en-IE" w:eastAsia="en-IE"/>
              </w:rPr>
            </w:pPr>
          </w:p>
          <w:p w:rsidR="00FF6249" w:rsidRPr="00E1165C" w:rsidRDefault="00FF6249" w:rsidP="00532894">
            <w:pPr>
              <w:rPr>
                <w:color w:val="0070C0"/>
                <w:sz w:val="22"/>
                <w:szCs w:val="22"/>
                <w:lang w:val="en-IE" w:eastAsia="en-IE"/>
              </w:rPr>
            </w:pPr>
            <w:r w:rsidRPr="00E1165C">
              <w:rPr>
                <w:color w:val="0070C0"/>
                <w:sz w:val="22"/>
                <w:szCs w:val="22"/>
                <w:lang w:val="en-IE"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FF6249" w:rsidRPr="00E1165C" w:rsidRDefault="00FF6249" w:rsidP="00532894">
            <w:pPr>
              <w:jc w:val="both"/>
              <w:rPr>
                <w:color w:val="0070C0"/>
                <w:sz w:val="22"/>
                <w:szCs w:val="22"/>
                <w:lang w:val="en-IE" w:eastAsia="en-IE"/>
              </w:rPr>
            </w:pPr>
          </w:p>
          <w:p w:rsidR="00FF6249" w:rsidRPr="00E1165C" w:rsidRDefault="00FF6249" w:rsidP="00532894">
            <w:pPr>
              <w:jc w:val="both"/>
              <w:rPr>
                <w:b/>
                <w:bCs/>
                <w:color w:val="0070C0"/>
                <w:sz w:val="22"/>
                <w:szCs w:val="22"/>
              </w:rPr>
            </w:pPr>
            <w:r w:rsidRPr="00E1165C">
              <w:rPr>
                <w:color w:val="0070C0"/>
                <w:sz w:val="22"/>
                <w:szCs w:val="22"/>
                <w:lang w:val="en-IE" w:eastAsia="en-IE"/>
              </w:rPr>
              <w:t xml:space="preserve">For further information, guidance and resources please visit: </w:t>
            </w:r>
            <w:hyperlink r:id="rId10" w:history="1">
              <w:r w:rsidRPr="00E1165C">
                <w:rPr>
                  <w:rStyle w:val="Hyperlink"/>
                  <w:sz w:val="22"/>
                  <w:szCs w:val="22"/>
                  <w:lang w:val="en"/>
                </w:rPr>
                <w:t>HSE Children First webpage</w:t>
              </w:r>
            </w:hyperlink>
            <w:r w:rsidRPr="00E1165C">
              <w:rPr>
                <w:rStyle w:val="Hyperlink"/>
                <w:sz w:val="22"/>
                <w:szCs w:val="22"/>
                <w:lang w:val="en"/>
              </w:rPr>
              <w:t>.</w:t>
            </w:r>
          </w:p>
        </w:tc>
      </w:tr>
      <w:tr w:rsidR="00FF6249" w:rsidRPr="00E1165C" w:rsidTr="00532894">
        <w:trPr>
          <w:trHeight w:val="1144"/>
        </w:trPr>
        <w:tc>
          <w:tcPr>
            <w:tcW w:w="1739" w:type="dxa"/>
          </w:tcPr>
          <w:p w:rsidR="00FF6249" w:rsidRPr="00E1165C" w:rsidRDefault="00FF6249" w:rsidP="00532894">
            <w:pPr>
              <w:jc w:val="both"/>
              <w:rPr>
                <w:b/>
                <w:bCs/>
                <w:color w:val="0070C0"/>
                <w:sz w:val="22"/>
                <w:szCs w:val="22"/>
              </w:rPr>
            </w:pPr>
            <w:r w:rsidRPr="00E1165C">
              <w:rPr>
                <w:b/>
                <w:bCs/>
                <w:color w:val="0070C0"/>
                <w:sz w:val="22"/>
                <w:szCs w:val="22"/>
                <w:lang w:val="en-IE" w:eastAsia="en-IE"/>
              </w:rPr>
              <w:t>Infection Control</w:t>
            </w:r>
          </w:p>
        </w:tc>
        <w:tc>
          <w:tcPr>
            <w:tcW w:w="8857" w:type="dxa"/>
          </w:tcPr>
          <w:p w:rsidR="00FF6249" w:rsidRPr="00E1165C" w:rsidRDefault="00FF6249" w:rsidP="00532894">
            <w:pPr>
              <w:jc w:val="both"/>
              <w:rPr>
                <w:color w:val="0070C0"/>
                <w:sz w:val="22"/>
                <w:szCs w:val="22"/>
              </w:rPr>
            </w:pPr>
            <w:r w:rsidRPr="00E1165C">
              <w:rPr>
                <w:color w:val="0070C0"/>
                <w:sz w:val="22"/>
                <w:szCs w:val="22"/>
                <w:lang w:val="en-IE" w:eastAsia="en-IE"/>
              </w:rPr>
              <w:t xml:space="preserve">All </w:t>
            </w:r>
            <w:smartTag w:uri="urn:schemas-microsoft-com:office:smarttags" w:element="stockticker">
              <w:r w:rsidRPr="00E1165C">
                <w:rPr>
                  <w:color w:val="0070C0"/>
                  <w:sz w:val="22"/>
                  <w:szCs w:val="22"/>
                  <w:lang w:val="en-IE" w:eastAsia="en-IE"/>
                </w:rPr>
                <w:t>HSE</w:t>
              </w:r>
            </w:smartTag>
            <w:r w:rsidRPr="00E1165C">
              <w:rPr>
                <w:color w:val="0070C0"/>
                <w:sz w:val="22"/>
                <w:szCs w:val="22"/>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F6249" w:rsidRPr="00E1165C" w:rsidTr="00532894">
        <w:trPr>
          <w:trHeight w:val="2693"/>
        </w:trPr>
        <w:tc>
          <w:tcPr>
            <w:tcW w:w="1739" w:type="dxa"/>
          </w:tcPr>
          <w:p w:rsidR="00FF6249" w:rsidRPr="00E1165C" w:rsidRDefault="00FF6249" w:rsidP="00532894">
            <w:pPr>
              <w:rPr>
                <w:b/>
                <w:color w:val="0070C0"/>
                <w:sz w:val="22"/>
                <w:szCs w:val="22"/>
              </w:rPr>
            </w:pPr>
            <w:r w:rsidRPr="00E1165C">
              <w:rPr>
                <w:b/>
                <w:color w:val="0070C0"/>
                <w:sz w:val="22"/>
                <w:szCs w:val="22"/>
              </w:rPr>
              <w:t>Ethics in Public Office 1995 and 2001</w:t>
            </w:r>
          </w:p>
          <w:p w:rsidR="00FF6249" w:rsidRPr="00E1165C" w:rsidRDefault="00FF6249" w:rsidP="00532894">
            <w:pPr>
              <w:rPr>
                <w:b/>
                <w:color w:val="0070C0"/>
                <w:sz w:val="22"/>
                <w:szCs w:val="22"/>
              </w:rPr>
            </w:pPr>
          </w:p>
          <w:p w:rsidR="00FF6249" w:rsidRPr="00E1165C" w:rsidRDefault="00FF6249" w:rsidP="00532894">
            <w:pPr>
              <w:rPr>
                <w:b/>
                <w:color w:val="0070C0"/>
                <w:sz w:val="22"/>
                <w:szCs w:val="22"/>
              </w:rPr>
            </w:pPr>
          </w:p>
          <w:p w:rsidR="00FF6249" w:rsidRPr="00E1165C" w:rsidRDefault="00FF6249" w:rsidP="00532894">
            <w:pPr>
              <w:rPr>
                <w:b/>
                <w:color w:val="0070C0"/>
                <w:sz w:val="22"/>
                <w:szCs w:val="22"/>
              </w:rPr>
            </w:pPr>
            <w:r w:rsidRPr="00E1165C">
              <w:rPr>
                <w:b/>
                <w:color w:val="0070C0"/>
                <w:sz w:val="22"/>
                <w:szCs w:val="22"/>
              </w:rPr>
              <w:t xml:space="preserve">Positions remunerated at or above the minimum point of the Grade VIII salary scale </w:t>
            </w:r>
          </w:p>
          <w:p w:rsidR="00FF6249" w:rsidRPr="00E1165C" w:rsidRDefault="00FF6249" w:rsidP="00532894">
            <w:pPr>
              <w:rPr>
                <w:b/>
                <w:bCs/>
                <w:color w:val="0070C0"/>
                <w:sz w:val="22"/>
                <w:szCs w:val="22"/>
              </w:rPr>
            </w:pPr>
            <w:r w:rsidRPr="00E1165C">
              <w:rPr>
                <w:b/>
                <w:color w:val="0070C0"/>
                <w:sz w:val="22"/>
                <w:szCs w:val="22"/>
                <w:lang w:val="en-IE"/>
              </w:rPr>
              <w:t xml:space="preserve">(€81,444 </w:t>
            </w:r>
            <w:r w:rsidRPr="00E1165C">
              <w:rPr>
                <w:b/>
                <w:color w:val="0070C0"/>
                <w:sz w:val="22"/>
                <w:szCs w:val="22"/>
              </w:rPr>
              <w:t>as at 1</w:t>
            </w:r>
            <w:r w:rsidRPr="00E1165C">
              <w:rPr>
                <w:b/>
                <w:color w:val="0070C0"/>
                <w:sz w:val="22"/>
                <w:szCs w:val="22"/>
                <w:vertAlign w:val="superscript"/>
              </w:rPr>
              <w:t xml:space="preserve"> </w:t>
            </w:r>
            <w:r w:rsidRPr="00E1165C">
              <w:rPr>
                <w:b/>
                <w:color w:val="0070C0"/>
                <w:sz w:val="22"/>
                <w:szCs w:val="22"/>
              </w:rPr>
              <w:t>March 2025)</w:t>
            </w:r>
          </w:p>
          <w:p w:rsidR="00FF6249" w:rsidRPr="00E1165C" w:rsidRDefault="00FF6249" w:rsidP="00532894">
            <w:pPr>
              <w:rPr>
                <w:b/>
                <w:bCs/>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p w:rsidR="00FF6249" w:rsidRPr="00E1165C" w:rsidRDefault="00FF6249" w:rsidP="00532894">
            <w:pPr>
              <w:rPr>
                <w:color w:val="0070C0"/>
                <w:sz w:val="22"/>
                <w:szCs w:val="22"/>
              </w:rPr>
            </w:pPr>
            <w:r w:rsidRPr="00E1165C">
              <w:rPr>
                <w:b/>
                <w:color w:val="0070C0"/>
                <w:sz w:val="22"/>
                <w:szCs w:val="22"/>
              </w:rPr>
              <w:t xml:space="preserve">Positions remunerated at or above </w:t>
            </w:r>
            <w:r w:rsidRPr="00E1165C">
              <w:rPr>
                <w:b/>
                <w:bCs/>
                <w:color w:val="0070C0"/>
                <w:sz w:val="22"/>
                <w:szCs w:val="22"/>
                <w:lang w:val="en-IE"/>
              </w:rPr>
              <w:t xml:space="preserve">€206,232 at 1 August 2025 </w:t>
            </w:r>
          </w:p>
          <w:p w:rsidR="00FF6249" w:rsidRPr="00E1165C" w:rsidRDefault="00FF6249" w:rsidP="00532894">
            <w:pPr>
              <w:rPr>
                <w:color w:val="0070C0"/>
                <w:sz w:val="22"/>
                <w:szCs w:val="22"/>
              </w:rPr>
            </w:pPr>
          </w:p>
          <w:p w:rsidR="00FF6249" w:rsidRPr="00E1165C" w:rsidRDefault="00FF6249" w:rsidP="00532894">
            <w:pPr>
              <w:rPr>
                <w:color w:val="0070C0"/>
                <w:sz w:val="22"/>
                <w:szCs w:val="22"/>
              </w:rPr>
            </w:pPr>
          </w:p>
        </w:tc>
        <w:tc>
          <w:tcPr>
            <w:tcW w:w="8857" w:type="dxa"/>
          </w:tcPr>
          <w:p w:rsidR="00FF6249" w:rsidRPr="00E1165C" w:rsidRDefault="00FF6249" w:rsidP="00532894">
            <w:pPr>
              <w:jc w:val="both"/>
              <w:rPr>
                <w:color w:val="0070C0"/>
                <w:sz w:val="22"/>
                <w:szCs w:val="22"/>
              </w:rPr>
            </w:pPr>
            <w:r w:rsidRPr="00E1165C">
              <w:rPr>
                <w:color w:val="0070C0"/>
                <w:sz w:val="22"/>
                <w:szCs w:val="22"/>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FF6249" w:rsidRPr="00E1165C" w:rsidRDefault="00FF6249" w:rsidP="00532894">
            <w:pPr>
              <w:jc w:val="both"/>
              <w:rPr>
                <w:color w:val="0070C0"/>
                <w:sz w:val="22"/>
                <w:szCs w:val="22"/>
              </w:rPr>
            </w:pPr>
          </w:p>
          <w:p w:rsidR="00FF6249" w:rsidRPr="00E1165C" w:rsidRDefault="00FF6249" w:rsidP="00532894">
            <w:pPr>
              <w:jc w:val="both"/>
              <w:rPr>
                <w:color w:val="0070C0"/>
                <w:sz w:val="22"/>
                <w:szCs w:val="22"/>
              </w:rPr>
            </w:pPr>
            <w:r w:rsidRPr="00E1165C">
              <w:rPr>
                <w:color w:val="0070C0"/>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F6249" w:rsidRPr="00E1165C" w:rsidRDefault="00FF6249" w:rsidP="00532894">
            <w:pPr>
              <w:jc w:val="both"/>
              <w:rPr>
                <w:color w:val="0070C0"/>
                <w:sz w:val="22"/>
                <w:szCs w:val="22"/>
              </w:rPr>
            </w:pPr>
          </w:p>
          <w:p w:rsidR="00FF6249" w:rsidRPr="00E1165C" w:rsidRDefault="00FF6249" w:rsidP="00532894">
            <w:pPr>
              <w:pStyle w:val="BodyText"/>
              <w:jc w:val="both"/>
              <w:rPr>
                <w:rFonts w:ascii="Times New Roman" w:hAnsi="Times New Roman" w:cs="Times New Roman"/>
                <w:color w:val="0070C0"/>
                <w:sz w:val="22"/>
                <w:szCs w:val="22"/>
              </w:rPr>
            </w:pPr>
            <w:r w:rsidRPr="00E1165C">
              <w:rPr>
                <w:rFonts w:ascii="Times New Roman" w:hAnsi="Times New Roman" w:cs="Times New Roman"/>
                <w:color w:val="0070C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E1165C">
                <w:rPr>
                  <w:rFonts w:ascii="Times New Roman" w:hAnsi="Times New Roman" w:cs="Times New Roman"/>
                  <w:color w:val="0070C0"/>
                  <w:sz w:val="22"/>
                  <w:szCs w:val="22"/>
                </w:rPr>
                <w:t>HSE</w:t>
              </w:r>
            </w:smartTag>
            <w:r w:rsidRPr="00E1165C">
              <w:rPr>
                <w:rFonts w:ascii="Times New Roman" w:hAnsi="Times New Roman" w:cs="Times New Roman"/>
                <w:color w:val="0070C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F6249" w:rsidRPr="00E1165C" w:rsidRDefault="00FF6249" w:rsidP="00532894">
            <w:pPr>
              <w:jc w:val="both"/>
              <w:rPr>
                <w:color w:val="0070C0"/>
                <w:sz w:val="22"/>
                <w:szCs w:val="22"/>
              </w:rPr>
            </w:pPr>
          </w:p>
          <w:p w:rsidR="00FF6249" w:rsidRPr="00E1165C" w:rsidRDefault="00FF6249" w:rsidP="00532894">
            <w:pPr>
              <w:jc w:val="both"/>
              <w:rPr>
                <w:color w:val="0070C0"/>
                <w:sz w:val="22"/>
                <w:szCs w:val="22"/>
              </w:rPr>
            </w:pPr>
            <w:r w:rsidRPr="00E1165C">
              <w:rPr>
                <w:color w:val="0070C0"/>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E1165C">
                <w:rPr>
                  <w:rStyle w:val="Hyperlink"/>
                  <w:color w:val="0070C0"/>
                  <w:sz w:val="22"/>
                  <w:szCs w:val="22"/>
                </w:rPr>
                <w:t>http://www.sipo.ie/</w:t>
              </w:r>
            </w:hyperlink>
          </w:p>
          <w:p w:rsidR="00FF6249" w:rsidRPr="00E1165C" w:rsidRDefault="00FF6249" w:rsidP="00532894">
            <w:pPr>
              <w:jc w:val="both"/>
              <w:rPr>
                <w:color w:val="0070C0"/>
                <w:sz w:val="22"/>
                <w:szCs w:val="22"/>
              </w:rPr>
            </w:pPr>
          </w:p>
          <w:p w:rsidR="00FF6249" w:rsidRPr="00E1165C" w:rsidRDefault="00FF6249" w:rsidP="00532894">
            <w:pPr>
              <w:jc w:val="both"/>
              <w:rPr>
                <w:color w:val="0070C0"/>
                <w:sz w:val="22"/>
                <w:szCs w:val="22"/>
              </w:rPr>
            </w:pPr>
            <w:r w:rsidRPr="00E1165C">
              <w:rPr>
                <w:color w:val="0070C0"/>
                <w:sz w:val="22"/>
                <w:szCs w:val="22"/>
              </w:rPr>
              <w:t xml:space="preserve">Positions remunerated at or above </w:t>
            </w:r>
            <w:r w:rsidRPr="00E1165C">
              <w:rPr>
                <w:b/>
                <w:bCs/>
                <w:color w:val="0070C0"/>
                <w:sz w:val="22"/>
                <w:szCs w:val="22"/>
                <w:lang w:val="en-IE"/>
              </w:rPr>
              <w:t xml:space="preserve">€206,232 </w:t>
            </w:r>
            <w:r w:rsidRPr="00E1165C">
              <w:rPr>
                <w:color w:val="0070C0"/>
                <w:sz w:val="22"/>
                <w:szCs w:val="22"/>
              </w:rPr>
              <w:t xml:space="preserve">as at 1 August 2025 are designated positions under the Ethics in Public Office Acts 1995 and 2001. </w:t>
            </w:r>
          </w:p>
          <w:p w:rsidR="00FF6249" w:rsidRPr="00E1165C" w:rsidRDefault="00FF6249" w:rsidP="00532894">
            <w:pPr>
              <w:jc w:val="both"/>
              <w:rPr>
                <w:color w:val="0070C0"/>
                <w:sz w:val="22"/>
                <w:szCs w:val="22"/>
              </w:rPr>
            </w:pPr>
          </w:p>
          <w:p w:rsidR="00FF6249" w:rsidRPr="00E1165C" w:rsidRDefault="00FF6249" w:rsidP="00532894">
            <w:pPr>
              <w:jc w:val="both"/>
              <w:rPr>
                <w:color w:val="0070C0"/>
                <w:sz w:val="22"/>
                <w:szCs w:val="22"/>
              </w:rPr>
            </w:pPr>
            <w:r w:rsidRPr="00E1165C">
              <w:rPr>
                <w:color w:val="0070C0"/>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F6249" w:rsidRPr="00E1165C" w:rsidRDefault="00FF6249" w:rsidP="00532894">
            <w:pPr>
              <w:pStyle w:val="BodyText"/>
              <w:rPr>
                <w:rFonts w:ascii="Times New Roman" w:hAnsi="Times New Roman" w:cs="Times New Roman"/>
                <w:color w:val="0070C0"/>
                <w:sz w:val="22"/>
                <w:szCs w:val="22"/>
              </w:rPr>
            </w:pPr>
            <w:r w:rsidRPr="00E1165C">
              <w:rPr>
                <w:rFonts w:ascii="Times New Roman" w:hAnsi="Times New Roman" w:cs="Times New Roman"/>
                <w:color w:val="0070C0"/>
                <w:sz w:val="22"/>
                <w:szCs w:val="22"/>
              </w:rPr>
              <w:t xml:space="preserve">In addition to the annual statement, a person holding such a post is required, whenever they are performing a function as an employee of the </w:t>
            </w:r>
            <w:smartTag w:uri="urn:schemas-microsoft-com:office:smarttags" w:element="stockticker">
              <w:r w:rsidRPr="00E1165C">
                <w:rPr>
                  <w:rFonts w:ascii="Times New Roman" w:hAnsi="Times New Roman" w:cs="Times New Roman"/>
                  <w:color w:val="0070C0"/>
                  <w:sz w:val="22"/>
                  <w:szCs w:val="22"/>
                </w:rPr>
                <w:t>HSE</w:t>
              </w:r>
            </w:smartTag>
            <w:r w:rsidRPr="00E1165C">
              <w:rPr>
                <w:rFonts w:ascii="Times New Roman" w:hAnsi="Times New Roman" w:cs="Times New Roman"/>
                <w:color w:val="0070C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F6249" w:rsidRPr="00E1165C" w:rsidRDefault="00FF6249" w:rsidP="00532894">
            <w:pPr>
              <w:pStyle w:val="BodyText"/>
              <w:rPr>
                <w:rFonts w:ascii="Times New Roman" w:hAnsi="Times New Roman" w:cs="Times New Roman"/>
                <w:color w:val="0070C0"/>
                <w:sz w:val="22"/>
                <w:szCs w:val="22"/>
              </w:rPr>
            </w:pPr>
          </w:p>
          <w:p w:rsidR="00FF6249" w:rsidRPr="00E1165C" w:rsidRDefault="00FF6249" w:rsidP="00532894">
            <w:pPr>
              <w:pStyle w:val="BodyText"/>
              <w:rPr>
                <w:rFonts w:ascii="Times New Roman" w:hAnsi="Times New Roman" w:cs="Times New Roman"/>
                <w:color w:val="0070C0"/>
                <w:sz w:val="22"/>
                <w:szCs w:val="22"/>
                <w:lang w:val="en-IE"/>
              </w:rPr>
            </w:pPr>
            <w:r w:rsidRPr="00E1165C">
              <w:rPr>
                <w:rFonts w:ascii="Times New Roman" w:hAnsi="Times New Roman" w:cs="Times New Roman"/>
                <w:color w:val="0070C0"/>
                <w:sz w:val="22"/>
                <w:szCs w:val="22"/>
                <w:lang w:val="en-IE"/>
              </w:rPr>
              <w:t xml:space="preserve">The Standards in Public Office Commission oversees compliance with the tax clearance provisions.  We will provide details of your appointment and contact details to the Commission. </w:t>
            </w:r>
            <w:r w:rsidRPr="00E1165C">
              <w:rPr>
                <w:rFonts w:ascii="Times New Roman" w:hAnsi="Times New Roman" w:cs="Times New Roman"/>
                <w:color w:val="0070C0"/>
                <w:sz w:val="22"/>
                <w:szCs w:val="22"/>
                <w:lang w:val="en-IE"/>
              </w:rPr>
              <w:lastRenderedPageBreak/>
              <w:t>Non-compliance will be investigated by the Commission. A report will be furnished to the HSE and laid before each House of the Oireachtas, at which point it will be made public. Any continuing non-compliance will also be noted in the Commission’s Annual Report</w:t>
            </w:r>
          </w:p>
          <w:p w:rsidR="00FF6249" w:rsidRPr="00E1165C" w:rsidRDefault="00FF6249" w:rsidP="00532894">
            <w:pPr>
              <w:pStyle w:val="BodyText"/>
              <w:rPr>
                <w:rFonts w:ascii="Times New Roman" w:hAnsi="Times New Roman" w:cs="Times New Roman"/>
                <w:color w:val="0070C0"/>
                <w:sz w:val="22"/>
                <w:szCs w:val="22"/>
              </w:rPr>
            </w:pPr>
          </w:p>
          <w:p w:rsidR="00FF6249" w:rsidRPr="00E1165C" w:rsidRDefault="00FF6249" w:rsidP="00532894">
            <w:pPr>
              <w:jc w:val="both"/>
              <w:rPr>
                <w:color w:val="0070C0"/>
                <w:sz w:val="22"/>
                <w:szCs w:val="22"/>
              </w:rPr>
            </w:pPr>
            <w:r w:rsidRPr="00E1165C">
              <w:rPr>
                <w:color w:val="0070C0"/>
                <w:sz w:val="22"/>
                <w:szCs w:val="22"/>
              </w:rPr>
              <w:t>Under the Standards in Public Office Act 2001, the post holder must within nine months of the date of appointment provide the following documents to the Standards in Public Office Commission at 18 Lower Lesson Street, Dublin 2:</w:t>
            </w:r>
          </w:p>
          <w:p w:rsidR="00FF6249" w:rsidRPr="00E1165C" w:rsidRDefault="00FF6249" w:rsidP="00532894">
            <w:pPr>
              <w:jc w:val="both"/>
              <w:rPr>
                <w:color w:val="0070C0"/>
                <w:sz w:val="22"/>
                <w:szCs w:val="22"/>
              </w:rPr>
            </w:pPr>
          </w:p>
          <w:p w:rsidR="00FF6249" w:rsidRPr="00E1165C" w:rsidRDefault="00FF6249" w:rsidP="00FF6249">
            <w:pPr>
              <w:pStyle w:val="BodyTextIndent"/>
              <w:numPr>
                <w:ilvl w:val="0"/>
                <w:numId w:val="3"/>
              </w:numPr>
              <w:jc w:val="both"/>
              <w:rPr>
                <w:rFonts w:ascii="Times New Roman" w:hAnsi="Times New Roman" w:cs="Times New Roman"/>
                <w:color w:val="0070C0"/>
                <w:sz w:val="22"/>
                <w:szCs w:val="22"/>
                <w:lang w:val="en-GB"/>
              </w:rPr>
            </w:pPr>
            <w:r w:rsidRPr="00E1165C">
              <w:rPr>
                <w:rFonts w:ascii="Times New Roman" w:hAnsi="Times New Roman" w:cs="Times New Roman"/>
                <w:color w:val="0070C0"/>
                <w:sz w:val="22"/>
                <w:szCs w:val="22"/>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FF6249" w:rsidRPr="00E1165C" w:rsidRDefault="00FF6249" w:rsidP="00532894">
            <w:pPr>
              <w:pStyle w:val="BodyTextIndent"/>
              <w:rPr>
                <w:rFonts w:ascii="Times New Roman" w:hAnsi="Times New Roman" w:cs="Times New Roman"/>
                <w:color w:val="0070C0"/>
                <w:sz w:val="22"/>
                <w:szCs w:val="22"/>
                <w:lang w:val="en-GB"/>
              </w:rPr>
            </w:pPr>
          </w:p>
          <w:p w:rsidR="00FF6249" w:rsidRPr="00E1165C" w:rsidRDefault="00FF6249" w:rsidP="00FF6249">
            <w:pPr>
              <w:pStyle w:val="BodyTextIndent"/>
              <w:numPr>
                <w:ilvl w:val="0"/>
                <w:numId w:val="3"/>
              </w:numPr>
              <w:jc w:val="both"/>
              <w:rPr>
                <w:rFonts w:ascii="Times New Roman" w:hAnsi="Times New Roman" w:cs="Times New Roman"/>
                <w:color w:val="0070C0"/>
                <w:sz w:val="22"/>
                <w:szCs w:val="22"/>
                <w:lang w:val="en-GB"/>
              </w:rPr>
            </w:pPr>
            <w:r w:rsidRPr="00E1165C">
              <w:rPr>
                <w:rFonts w:ascii="Times New Roman" w:hAnsi="Times New Roman" w:cs="Times New Roman"/>
                <w:color w:val="0070C0"/>
                <w:sz w:val="22"/>
                <w:szCs w:val="22"/>
                <w:lang w:val="en-GB"/>
              </w:rPr>
              <w:t>and either</w:t>
            </w:r>
          </w:p>
          <w:p w:rsidR="00FF6249" w:rsidRPr="00E1165C" w:rsidRDefault="00FF6249" w:rsidP="00FF6249">
            <w:pPr>
              <w:pStyle w:val="BodyTextIndent"/>
              <w:numPr>
                <w:ilvl w:val="0"/>
                <w:numId w:val="2"/>
              </w:numPr>
              <w:jc w:val="both"/>
              <w:rPr>
                <w:rFonts w:ascii="Times New Roman" w:hAnsi="Times New Roman" w:cs="Times New Roman"/>
                <w:color w:val="0070C0"/>
                <w:sz w:val="22"/>
                <w:szCs w:val="22"/>
                <w:lang w:val="en-GB"/>
              </w:rPr>
            </w:pPr>
            <w:r w:rsidRPr="00E1165C">
              <w:rPr>
                <w:rFonts w:ascii="Times New Roman" w:hAnsi="Times New Roman" w:cs="Times New Roman"/>
                <w:color w:val="0070C0"/>
                <w:sz w:val="22"/>
                <w:szCs w:val="22"/>
                <w:lang w:val="en-GB"/>
              </w:rPr>
              <w:t>a Tax Clearance Certificate issued by the Collector-General not more than 9 months before or after the date of the appointment or</w:t>
            </w:r>
          </w:p>
          <w:p w:rsidR="00FF6249" w:rsidRPr="00E1165C" w:rsidRDefault="00FF6249" w:rsidP="00FF6249">
            <w:pPr>
              <w:pStyle w:val="BodyTextIndent"/>
              <w:numPr>
                <w:ilvl w:val="0"/>
                <w:numId w:val="2"/>
              </w:numPr>
              <w:jc w:val="both"/>
              <w:rPr>
                <w:rFonts w:ascii="Times New Roman" w:hAnsi="Times New Roman" w:cs="Times New Roman"/>
                <w:color w:val="0070C0"/>
                <w:sz w:val="22"/>
                <w:szCs w:val="22"/>
                <w:lang w:val="en-GB"/>
              </w:rPr>
            </w:pPr>
            <w:r w:rsidRPr="00E1165C">
              <w:rPr>
                <w:rFonts w:ascii="Times New Roman" w:hAnsi="Times New Roman" w:cs="Times New Roman"/>
                <w:color w:val="0070C0"/>
                <w:sz w:val="22"/>
                <w:szCs w:val="22"/>
                <w:lang w:val="en-GB"/>
              </w:rPr>
              <w:t>an Application Statement issued by the Collector-General not more than 9 months before or after the date of the appointment.</w:t>
            </w:r>
          </w:p>
          <w:p w:rsidR="00FF6249" w:rsidRPr="00E1165C" w:rsidRDefault="00FF6249" w:rsidP="00532894">
            <w:pPr>
              <w:pStyle w:val="BodyTextIndent"/>
              <w:ind w:left="0"/>
              <w:rPr>
                <w:rFonts w:ascii="Times New Roman" w:hAnsi="Times New Roman" w:cs="Times New Roman"/>
                <w:color w:val="0070C0"/>
                <w:sz w:val="22"/>
                <w:szCs w:val="22"/>
                <w:lang w:val="en-GB"/>
              </w:rPr>
            </w:pPr>
          </w:p>
          <w:p w:rsidR="00FF6249" w:rsidRPr="00E1165C" w:rsidRDefault="00FF6249" w:rsidP="00532894">
            <w:pPr>
              <w:jc w:val="both"/>
              <w:rPr>
                <w:color w:val="0070C0"/>
                <w:sz w:val="22"/>
                <w:szCs w:val="22"/>
              </w:rPr>
            </w:pPr>
            <w:r w:rsidRPr="00E1165C">
              <w:rPr>
                <w:color w:val="0070C0"/>
                <w:sz w:val="22"/>
                <w:szCs w:val="22"/>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FF6249" w:rsidRPr="00E1165C" w:rsidRDefault="00FF6249" w:rsidP="00FF6249">
      <w:pPr>
        <w:jc w:val="both"/>
        <w:rPr>
          <w:color w:val="0070C0"/>
          <w:sz w:val="22"/>
          <w:szCs w:val="22"/>
        </w:rPr>
      </w:pPr>
    </w:p>
    <w:p w:rsidR="00FF6249" w:rsidRPr="00E1165C" w:rsidRDefault="00FF6249" w:rsidP="00FF6249">
      <w:pPr>
        <w:jc w:val="both"/>
        <w:rPr>
          <w:color w:val="0070C0"/>
          <w:sz w:val="22"/>
          <w:szCs w:val="22"/>
        </w:rPr>
      </w:pPr>
    </w:p>
    <w:p w:rsidR="00FF6249" w:rsidRPr="00E1165C" w:rsidRDefault="00FF6249" w:rsidP="00FF6249">
      <w:pPr>
        <w:jc w:val="both"/>
        <w:rPr>
          <w:color w:val="0070C0"/>
          <w:sz w:val="22"/>
          <w:szCs w:val="22"/>
        </w:rPr>
      </w:pPr>
    </w:p>
    <w:p w:rsidR="00FF6249" w:rsidRPr="00E1165C" w:rsidRDefault="00FF6249" w:rsidP="00FF6249">
      <w:pPr>
        <w:jc w:val="both"/>
        <w:rPr>
          <w:color w:val="0070C0"/>
          <w:sz w:val="22"/>
          <w:szCs w:val="22"/>
        </w:rPr>
      </w:pPr>
    </w:p>
    <w:p w:rsidR="00AE3035" w:rsidRPr="00E1165C" w:rsidRDefault="00AE3035">
      <w:pPr>
        <w:rPr>
          <w:sz w:val="22"/>
          <w:szCs w:val="22"/>
        </w:rPr>
      </w:pPr>
    </w:p>
    <w:sectPr w:rsidR="00AE3035" w:rsidRPr="00E1165C" w:rsidSect="00916E4F">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56" w:rsidRDefault="005F3D56">
      <w:r>
        <w:separator/>
      </w:r>
    </w:p>
  </w:endnote>
  <w:endnote w:type="continuationSeparator" w:id="0">
    <w:p w:rsidR="005F3D56" w:rsidRDefault="005F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9B29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05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9B29EA">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055FC7">
      <w:rPr>
        <w:rStyle w:val="PageNumber"/>
        <w:rFonts w:ascii="Arial" w:hAnsi="Arial" w:cs="Arial"/>
        <w:noProof/>
      </w:rPr>
      <w:t>6</w:t>
    </w:r>
    <w:r w:rsidRPr="00B526F6">
      <w:rPr>
        <w:rStyle w:val="PageNumber"/>
        <w:rFonts w:ascii="Arial" w:hAnsi="Arial" w:cs="Arial"/>
      </w:rPr>
      <w:fldChar w:fldCharType="end"/>
    </w:r>
  </w:p>
  <w:p w:rsidR="00EA6202" w:rsidRDefault="0005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56" w:rsidRDefault="005F3D56">
      <w:r>
        <w:separator/>
      </w:r>
    </w:p>
  </w:footnote>
  <w:footnote w:type="continuationSeparator" w:id="0">
    <w:p w:rsidR="005F3D56" w:rsidRDefault="005F3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5"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9"/>
    <w:rsid w:val="000263A5"/>
    <w:rsid w:val="00055FC7"/>
    <w:rsid w:val="000952AD"/>
    <w:rsid w:val="000C616E"/>
    <w:rsid w:val="0033310B"/>
    <w:rsid w:val="004E1595"/>
    <w:rsid w:val="00544A1C"/>
    <w:rsid w:val="005F3D56"/>
    <w:rsid w:val="00835326"/>
    <w:rsid w:val="008F3D4F"/>
    <w:rsid w:val="009100F4"/>
    <w:rsid w:val="009B29EA"/>
    <w:rsid w:val="00AE3035"/>
    <w:rsid w:val="00B86ED0"/>
    <w:rsid w:val="00C816A5"/>
    <w:rsid w:val="00D56EF8"/>
    <w:rsid w:val="00DF12E7"/>
    <w:rsid w:val="00E1165C"/>
    <w:rsid w:val="00EA2171"/>
    <w:rsid w:val="00F118DB"/>
    <w:rsid w:val="00FF6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8A4A0F"/>
  <w15:chartTrackingRefBased/>
  <w15:docId w15:val="{1C72E4FB-43CE-4586-8E92-90977002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249"/>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FF624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F6249"/>
    <w:rPr>
      <w:rFonts w:ascii="Arial" w:eastAsia="Times New Roman" w:hAnsi="Arial" w:cs="Times New Roman"/>
      <w:b/>
      <w:spacing w:val="-3"/>
      <w:sz w:val="24"/>
      <w:szCs w:val="20"/>
      <w:lang w:val="en-GB"/>
    </w:rPr>
  </w:style>
  <w:style w:type="paragraph" w:styleId="Footer">
    <w:name w:val="footer"/>
    <w:basedOn w:val="Normal"/>
    <w:link w:val="FooterChar"/>
    <w:uiPriority w:val="99"/>
    <w:rsid w:val="00FF6249"/>
    <w:pPr>
      <w:tabs>
        <w:tab w:val="center" w:pos="4320"/>
        <w:tab w:val="right" w:pos="8640"/>
      </w:tabs>
    </w:pPr>
  </w:style>
  <w:style w:type="character" w:customStyle="1" w:styleId="FooterChar">
    <w:name w:val="Footer Char"/>
    <w:basedOn w:val="DefaultParagraphFont"/>
    <w:link w:val="Footer"/>
    <w:uiPriority w:val="99"/>
    <w:rsid w:val="00FF6249"/>
    <w:rPr>
      <w:rFonts w:ascii="Times New Roman" w:eastAsia="Times New Roman" w:hAnsi="Times New Roman" w:cs="Times New Roman"/>
      <w:sz w:val="20"/>
      <w:szCs w:val="20"/>
      <w:lang w:val="en-GB" w:eastAsia="en-GB"/>
    </w:rPr>
  </w:style>
  <w:style w:type="character" w:styleId="PageNumber">
    <w:name w:val="page number"/>
    <w:basedOn w:val="DefaultParagraphFont"/>
    <w:rsid w:val="00FF6249"/>
  </w:style>
  <w:style w:type="paragraph" w:styleId="BodyTextIndent">
    <w:name w:val="Body Text Indent"/>
    <w:basedOn w:val="Normal"/>
    <w:link w:val="BodyTextIndentChar"/>
    <w:rsid w:val="00FF6249"/>
    <w:pPr>
      <w:ind w:left="360"/>
    </w:pPr>
    <w:rPr>
      <w:rFonts w:ascii="Arial" w:hAnsi="Arial" w:cs="Arial"/>
      <w:sz w:val="24"/>
      <w:lang w:val="en-IE"/>
    </w:rPr>
  </w:style>
  <w:style w:type="character" w:customStyle="1" w:styleId="BodyTextIndentChar">
    <w:name w:val="Body Text Indent Char"/>
    <w:basedOn w:val="DefaultParagraphFont"/>
    <w:link w:val="BodyTextIndent"/>
    <w:rsid w:val="00FF6249"/>
    <w:rPr>
      <w:rFonts w:ascii="Arial" w:eastAsia="Times New Roman" w:hAnsi="Arial" w:cs="Arial"/>
      <w:sz w:val="24"/>
      <w:szCs w:val="20"/>
      <w:lang w:eastAsia="en-GB"/>
    </w:rPr>
  </w:style>
  <w:style w:type="paragraph" w:styleId="BodyText">
    <w:name w:val="Body Text"/>
    <w:basedOn w:val="Normal"/>
    <w:link w:val="BodyTextChar"/>
    <w:rsid w:val="00FF6249"/>
    <w:rPr>
      <w:rFonts w:ascii="Arial" w:hAnsi="Arial" w:cs="Arial"/>
      <w:sz w:val="24"/>
    </w:rPr>
  </w:style>
  <w:style w:type="character" w:customStyle="1" w:styleId="BodyTextChar">
    <w:name w:val="Body Text Char"/>
    <w:basedOn w:val="DefaultParagraphFont"/>
    <w:link w:val="BodyText"/>
    <w:rsid w:val="00FF6249"/>
    <w:rPr>
      <w:rFonts w:ascii="Arial" w:eastAsia="Times New Roman" w:hAnsi="Arial" w:cs="Arial"/>
      <w:sz w:val="24"/>
      <w:szCs w:val="20"/>
      <w:lang w:val="en-GB" w:eastAsia="en-GB"/>
    </w:rPr>
  </w:style>
  <w:style w:type="character" w:styleId="Hyperlink">
    <w:name w:val="Hyperlink"/>
    <w:rsid w:val="00FF6249"/>
    <w:rPr>
      <w:color w:val="0000FF"/>
      <w:u w:val="single"/>
    </w:rPr>
  </w:style>
  <w:style w:type="paragraph" w:customStyle="1" w:styleId="Style1">
    <w:name w:val="Style1"/>
    <w:basedOn w:val="Normal"/>
    <w:rsid w:val="00FF6249"/>
    <w:pPr>
      <w:numPr>
        <w:numId w:val="1"/>
      </w:numPr>
      <w:jc w:val="both"/>
    </w:pPr>
    <w:rPr>
      <w:rFonts w:ascii="Arial" w:hAnsi="Arial"/>
      <w:b/>
      <w:sz w:val="28"/>
      <w:szCs w:val="24"/>
      <w:lang w:eastAsia="en-US"/>
    </w:rPr>
  </w:style>
  <w:style w:type="paragraph" w:customStyle="1" w:styleId="DefaultText">
    <w:name w:val="Default Text"/>
    <w:basedOn w:val="Normal"/>
    <w:rsid w:val="00FF6249"/>
    <w:rPr>
      <w:sz w:val="24"/>
      <w:lang w:eastAsia="en-US"/>
    </w:rPr>
  </w:style>
  <w:style w:type="paragraph" w:styleId="ListParagraph">
    <w:name w:val="List Paragraph"/>
    <w:basedOn w:val="Normal"/>
    <w:uiPriority w:val="34"/>
    <w:qFormat/>
    <w:rsid w:val="00FF6249"/>
    <w:pPr>
      <w:widowControl w:val="0"/>
      <w:autoSpaceDE w:val="0"/>
      <w:autoSpaceDN w:val="0"/>
      <w:ind w:left="720"/>
      <w:contextualSpacing/>
    </w:pPr>
    <w:rPr>
      <w:rFonts w:ascii="Courier" w:hAnsi="Courier" w:cs="Courier"/>
      <w:lang w:val="en-US"/>
    </w:rPr>
  </w:style>
  <w:style w:type="paragraph" w:customStyle="1" w:styleId="Default">
    <w:name w:val="Default"/>
    <w:rsid w:val="00FF6249"/>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2</cp:revision>
  <dcterms:created xsi:type="dcterms:W3CDTF">2025-12-12T10:58:00Z</dcterms:created>
  <dcterms:modified xsi:type="dcterms:W3CDTF">2025-12-12T10:58:00Z</dcterms:modified>
</cp:coreProperties>
</file>