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B15A28" w:rsidP="00B14C43">
      <w:pPr>
        <w:rPr>
          <w:rFonts w:cs="Arial"/>
          <w:b/>
        </w:rPr>
      </w:pPr>
      <w:r>
        <w:rPr>
          <w:noProof/>
        </w:rPr>
        <w:drawing>
          <wp:anchor distT="0" distB="0" distL="114300" distR="114300" simplePos="0" relativeHeight="251661312" behindDoc="1" locked="0" layoutInCell="1" allowOverlap="1">
            <wp:simplePos x="0" y="0"/>
            <wp:positionH relativeFrom="column">
              <wp:posOffset>4445</wp:posOffset>
            </wp:positionH>
            <wp:positionV relativeFrom="paragraph">
              <wp:posOffset>0</wp:posOffset>
            </wp:positionV>
            <wp:extent cx="1133475" cy="1133475"/>
            <wp:effectExtent l="0" t="0" r="9525" b="9525"/>
            <wp:wrapNone/>
            <wp:docPr id="1" name="Picture 1" descr="cid:image003.png@01DB1BBB.A5FE43A0"/>
            <wp:cNvGraphicFramePr/>
            <a:graphic xmlns:a="http://schemas.openxmlformats.org/drawingml/2006/main">
              <a:graphicData uri="http://schemas.openxmlformats.org/drawingml/2006/picture">
                <pic:pic xmlns:pic="http://schemas.openxmlformats.org/drawingml/2006/picture">
                  <pic:nvPicPr>
                    <pic:cNvPr id="1" name="Picture 1" descr="cid:image003.png@01DB1BBB.A5FE4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8D6" w:rsidRDefault="002A68D6"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2A68D6" w:rsidRDefault="002A68D6" w:rsidP="001D09DA">
                      <w:pPr>
                        <w:ind w:right="-1259"/>
                        <w:jc w:val="center"/>
                      </w:pPr>
                    </w:p>
                  </w:txbxContent>
                </v:textbox>
              </v:shape>
            </w:pict>
          </mc:Fallback>
        </mc:AlternateContent>
      </w: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B15A28">
      <w:pPr>
        <w:rPr>
          <w:rFonts w:cs="Arial"/>
          <w:b/>
        </w:rPr>
      </w:pPr>
    </w:p>
    <w:p w:rsidR="001A519A" w:rsidRPr="001A519A" w:rsidRDefault="001A519A" w:rsidP="00B15A28">
      <w:pPr>
        <w:jc w:val="center"/>
        <w:rPr>
          <w:rFonts w:cs="Arial"/>
          <w:b/>
        </w:rPr>
      </w:pPr>
      <w:r w:rsidRPr="001A519A">
        <w:rPr>
          <w:rFonts w:cs="Arial"/>
          <w:b/>
        </w:rPr>
        <w:t>Additional Campaign Information</w:t>
      </w:r>
    </w:p>
    <w:p w:rsidR="00903D7D" w:rsidRPr="00903D7D" w:rsidRDefault="00903D7D" w:rsidP="00903D7D">
      <w:pPr>
        <w:ind w:left="2160"/>
        <w:rPr>
          <w:rFonts w:cs="Arial"/>
          <w:b/>
          <w:lang w:val="en-GB" w:eastAsia="en-GB"/>
        </w:rPr>
      </w:pPr>
      <w:r>
        <w:rPr>
          <w:rFonts w:cs="Arial"/>
          <w:b/>
          <w:lang w:val="en-GB" w:eastAsia="en-GB"/>
        </w:rPr>
        <w:t xml:space="preserve">    </w:t>
      </w:r>
      <w:r w:rsidRPr="00903D7D">
        <w:rPr>
          <w:rFonts w:cs="Arial"/>
          <w:b/>
          <w:lang w:val="en-GB" w:eastAsia="en-GB"/>
        </w:rPr>
        <w:t>New Graduate &amp; Staff Nurse (Mental Health)</w:t>
      </w:r>
    </w:p>
    <w:p w:rsidR="00903D7D" w:rsidRPr="00903D7D" w:rsidRDefault="00903D7D" w:rsidP="00903D7D">
      <w:pPr>
        <w:ind w:left="2160" w:firstLine="720"/>
        <w:rPr>
          <w:rFonts w:cs="Arial"/>
          <w:b/>
          <w:lang w:val="en-GB" w:eastAsia="en-GB"/>
        </w:rPr>
      </w:pPr>
      <w:r w:rsidRPr="00903D7D">
        <w:rPr>
          <w:rFonts w:cs="Arial"/>
          <w:b/>
          <w:lang w:val="en-GB" w:eastAsia="en-GB"/>
        </w:rPr>
        <w:t>Community Healthcare North West</w:t>
      </w:r>
    </w:p>
    <w:p w:rsidR="00903D7D" w:rsidRPr="00903D7D" w:rsidRDefault="00903D7D" w:rsidP="00903D7D">
      <w:pPr>
        <w:ind w:left="2160"/>
        <w:rPr>
          <w:rFonts w:cs="Arial"/>
          <w:b/>
          <w:lang w:val="en-GB" w:eastAsia="en-GB"/>
        </w:rPr>
      </w:pPr>
      <w:r>
        <w:rPr>
          <w:rFonts w:cs="Arial"/>
          <w:b/>
          <w:lang w:val="en-GB" w:eastAsia="en-GB"/>
        </w:rPr>
        <w:t xml:space="preserve">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C13160" w:rsidRDefault="00AE4C80" w:rsidP="00176309">
      <w:pPr>
        <w:pStyle w:val="ListParagraph"/>
        <w:numPr>
          <w:ilvl w:val="0"/>
          <w:numId w:val="6"/>
        </w:numPr>
        <w:jc w:val="both"/>
        <w:rPr>
          <w:rFonts w:ascii="Arial" w:hAnsi="Arial" w:cs="Arial"/>
          <w:b/>
        </w:rPr>
      </w:pPr>
      <w:r w:rsidRPr="00C13160">
        <w:rPr>
          <w:rFonts w:ascii="Arial" w:hAnsi="Arial" w:cs="Arial"/>
          <w:b/>
        </w:rPr>
        <w:t xml:space="preserve">You must submit a fully completed </w:t>
      </w:r>
      <w:r w:rsidR="006158B7" w:rsidRPr="00C13160">
        <w:rPr>
          <w:rFonts w:ascii="Arial" w:hAnsi="Arial" w:cs="Arial"/>
          <w:b/>
        </w:rPr>
        <w:t>Application Form particular to this post</w:t>
      </w:r>
      <w:r w:rsidR="00B15A28">
        <w:rPr>
          <w:rFonts w:ascii="Arial" w:hAnsi="Arial" w:cs="Arial"/>
          <w:b/>
        </w:rPr>
        <w:t xml:space="preserve"> </w:t>
      </w:r>
      <w:proofErr w:type="gramStart"/>
      <w:r w:rsidR="00B15A28">
        <w:rPr>
          <w:rFonts w:ascii="Arial" w:hAnsi="Arial" w:cs="Arial"/>
          <w:b/>
        </w:rPr>
        <w:t>Via</w:t>
      </w:r>
      <w:proofErr w:type="gramEnd"/>
      <w:r w:rsidR="00B15A28">
        <w:rPr>
          <w:rFonts w:ascii="Arial" w:hAnsi="Arial" w:cs="Arial"/>
          <w:b/>
        </w:rPr>
        <w:t xml:space="preserve"> email</w:t>
      </w:r>
      <w:r w:rsidR="00207332" w:rsidRPr="00C13160">
        <w:rPr>
          <w:rFonts w:ascii="Arial" w:hAnsi="Arial" w:cs="Arial"/>
          <w:b/>
        </w:rPr>
        <w:t xml:space="preserve"> only</w:t>
      </w:r>
      <w:r w:rsidR="006158B7" w:rsidRPr="00C13160">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6A492B" w:rsidP="00176309">
      <w:pPr>
        <w:numPr>
          <w:ilvl w:val="0"/>
          <w:numId w:val="4"/>
        </w:numPr>
        <w:jc w:val="both"/>
        <w:rPr>
          <w:rFonts w:cs="Arial"/>
        </w:rPr>
      </w:pPr>
      <w:r>
        <w:rPr>
          <w:rFonts w:cs="Arial"/>
        </w:rPr>
        <w:t>W</w:t>
      </w:r>
      <w:r w:rsidR="006158B7" w:rsidRPr="008F59BA">
        <w:rPr>
          <w:rFonts w:cs="Arial"/>
        </w:rPr>
        <w:t xml:space="preserve">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r w:rsidR="006A492B" w:rsidRPr="008F59BA">
        <w:rPr>
          <w:rFonts w:cs="Arial"/>
        </w:rPr>
        <w:t>applications,</w:t>
      </w:r>
      <w:r w:rsidRPr="008F59BA">
        <w:rPr>
          <w:rFonts w:cs="Arial"/>
        </w:rPr>
        <w:t xml:space="preserve"> we will not be able to process applications by CV or any other method.</w:t>
      </w:r>
    </w:p>
    <w:p w:rsidR="00CB3D91" w:rsidRPr="00CB3D91" w:rsidRDefault="006A492B"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A</w:t>
      </w:r>
      <w:r w:rsidR="00CB3D91">
        <w:rPr>
          <w:rFonts w:ascii="Helv" w:hAnsi="Helv" w:cs="Helv"/>
          <w:color w:val="000000"/>
        </w:rPr>
        <w:t>pplications will receive a response within 48 hours, which will let y</w:t>
      </w:r>
      <w:r>
        <w:rPr>
          <w:rFonts w:ascii="Helv" w:hAnsi="Helv" w:cs="Helv"/>
          <w:color w:val="000000"/>
        </w:rPr>
        <w:t>ou know that we received your Application</w:t>
      </w:r>
      <w:r w:rsidR="00CB3D91">
        <w:rPr>
          <w:rFonts w:ascii="Helv" w:hAnsi="Helv" w:cs="Helv"/>
          <w:color w:val="000000"/>
        </w:rPr>
        <w:t>.</w:t>
      </w:r>
    </w:p>
    <w:p w:rsidR="006158B7" w:rsidRPr="006778F0" w:rsidRDefault="006A492B" w:rsidP="00176309">
      <w:pPr>
        <w:pStyle w:val="ListParagraph"/>
        <w:numPr>
          <w:ilvl w:val="0"/>
          <w:numId w:val="4"/>
        </w:numPr>
        <w:autoSpaceDE w:val="0"/>
        <w:autoSpaceDN w:val="0"/>
        <w:adjustRightInd w:val="0"/>
        <w:jc w:val="both"/>
        <w:rPr>
          <w:rFonts w:ascii="Arial" w:hAnsi="Arial" w:cs="Arial"/>
          <w:lang w:val="en-IE" w:eastAsia="en-IE"/>
        </w:rPr>
      </w:pPr>
      <w:r>
        <w:rPr>
          <w:rFonts w:ascii="Arial" w:hAnsi="Arial" w:cs="Arial"/>
          <w:lang w:val="en-IE" w:eastAsia="en-IE"/>
        </w:rPr>
        <w:t xml:space="preserve">The </w:t>
      </w:r>
      <w:r w:rsidR="006158B7" w:rsidRPr="006778F0">
        <w:rPr>
          <w:rFonts w:ascii="Arial" w:hAnsi="Arial" w:cs="Arial"/>
          <w:lang w:val="en-IE" w:eastAsia="en-IE"/>
        </w:rPr>
        <w:t xml:space="preserve">eligibility of </w:t>
      </w:r>
      <w:r>
        <w:rPr>
          <w:rFonts w:ascii="Arial" w:hAnsi="Arial" w:cs="Arial"/>
          <w:lang w:val="en-IE" w:eastAsia="en-IE"/>
        </w:rPr>
        <w:t>all</w:t>
      </w:r>
      <w:r w:rsidR="006158B7" w:rsidRPr="006778F0">
        <w:rPr>
          <w:rFonts w:ascii="Arial" w:hAnsi="Arial" w:cs="Arial"/>
          <w:lang w:val="en-IE" w:eastAsia="en-IE"/>
        </w:rPr>
        <w:t xml:space="preserve"> applicants </w:t>
      </w:r>
      <w:r>
        <w:rPr>
          <w:rFonts w:ascii="Arial" w:hAnsi="Arial" w:cs="Arial"/>
          <w:lang w:val="en-IE" w:eastAsia="en-IE"/>
        </w:rPr>
        <w:t xml:space="preserve">will be checked </w:t>
      </w:r>
      <w:r w:rsidR="006158B7" w:rsidRPr="006778F0">
        <w:rPr>
          <w:rFonts w:ascii="Arial" w:hAnsi="Arial" w:cs="Arial"/>
          <w:lang w:val="en-IE" w:eastAsia="en-IE"/>
        </w:rPr>
        <w:t>after the closing date</w:t>
      </w:r>
      <w:r w:rsidR="00A74B49" w:rsidRPr="006778F0">
        <w:rPr>
          <w:rFonts w:ascii="Arial" w:hAnsi="Arial" w:cs="Arial"/>
          <w:lang w:val="en-IE" w:eastAsia="en-IE"/>
        </w:rPr>
        <w:t xml:space="preserve"> and time </w:t>
      </w:r>
      <w:r w:rsidR="006158B7"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006158B7"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have no internet access </w:t>
      </w:r>
      <w:r w:rsidRPr="006778F0">
        <w:rPr>
          <w:rFonts w:ascii="Arial" w:hAnsi="Arial" w:cs="Arial"/>
        </w:rPr>
        <w:t>etc.</w:t>
      </w:r>
      <w:r w:rsidR="006778F0" w:rsidRPr="006778F0">
        <w:rPr>
          <w:rFonts w:ascii="Arial" w:hAnsi="Arial" w:cs="Arial"/>
        </w:rPr>
        <w:t xml:space="preserve"> or that you have not attached requested relevant supporting documentation, </w:t>
      </w:r>
      <w:r w:rsidRPr="006778F0">
        <w:rPr>
          <w:rFonts w:ascii="Arial" w:hAnsi="Arial" w:cs="Arial"/>
        </w:rPr>
        <w:t>etc.</w:t>
      </w:r>
      <w:r w:rsidR="006778F0" w:rsidRPr="006778F0">
        <w:rPr>
          <w:rFonts w:ascii="Arial" w:hAnsi="Arial" w:cs="Arial"/>
        </w:rPr>
        <w:t xml:space="preserve"> you will not be processed further.</w:t>
      </w:r>
    </w:p>
    <w:p w:rsidR="006158B7" w:rsidRPr="00422BE8" w:rsidRDefault="00DC0BD4" w:rsidP="00176309">
      <w:pPr>
        <w:numPr>
          <w:ilvl w:val="0"/>
          <w:numId w:val="2"/>
        </w:numPr>
        <w:jc w:val="both"/>
        <w:rPr>
          <w:rFonts w:cs="Arial"/>
          <w:sz w:val="16"/>
          <w:szCs w:val="16"/>
        </w:rPr>
      </w:pPr>
      <w:r>
        <w:rPr>
          <w:rFonts w:cs="Arial"/>
        </w:rPr>
        <w:t>As we are only</w:t>
      </w:r>
      <w:r w:rsidR="006A492B">
        <w:rPr>
          <w:rFonts w:cs="Arial"/>
        </w:rPr>
        <w:t xml:space="preserve"> accepting applications digitally,</w:t>
      </w:r>
      <w:r>
        <w:rPr>
          <w:rFonts w:cs="Arial"/>
        </w:rPr>
        <w:t xml:space="preserve"> a</w:t>
      </w:r>
      <w:r w:rsidR="006158B7" w:rsidRPr="006778F0">
        <w:rPr>
          <w:rFonts w:cs="Arial"/>
        </w:rPr>
        <w:t xml:space="preserve">pplications </w:t>
      </w:r>
      <w:proofErr w:type="gramStart"/>
      <w:r w:rsidR="006158B7" w:rsidRPr="006778F0">
        <w:rPr>
          <w:rFonts w:cs="Arial"/>
        </w:rPr>
        <w:t>must be submitted</w:t>
      </w:r>
      <w:proofErr w:type="gramEnd"/>
      <w:r w:rsidR="006158B7" w:rsidRPr="0020363A">
        <w:rPr>
          <w:rFonts w:cs="Arial"/>
        </w:rPr>
        <w:t xml:space="preserve"> </w:t>
      </w:r>
      <w:r w:rsidR="006A492B">
        <w:rPr>
          <w:rFonts w:cs="Arial"/>
        </w:rPr>
        <w:t xml:space="preserve">via </w:t>
      </w:r>
      <w:r w:rsidR="00B15A28">
        <w:rPr>
          <w:rFonts w:cs="Arial"/>
        </w:rPr>
        <w:t>Email</w:t>
      </w:r>
      <w:r w:rsidR="006A492B">
        <w:rPr>
          <w:rFonts w:cs="Arial"/>
        </w:rPr>
        <w:t xml:space="preserve"> ONLY.</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503165" w:rsidP="006C3390">
      <w:pPr>
        <w:numPr>
          <w:ilvl w:val="0"/>
          <w:numId w:val="4"/>
        </w:numPr>
        <w:jc w:val="both"/>
        <w:rPr>
          <w:rFonts w:cs="Arial"/>
          <w:color w:val="000000" w:themeColor="text1"/>
        </w:rPr>
      </w:pPr>
      <w:r>
        <w:rPr>
          <w:rFonts w:cs="Arial"/>
        </w:rPr>
        <w:t>Recruit Sligo/Leitrim</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DC0BD4" w:rsidRPr="006A492B" w:rsidRDefault="00DC0BD4" w:rsidP="006A492B">
      <w:pPr>
        <w:ind w:left="360"/>
        <w:jc w:val="both"/>
        <w:rPr>
          <w:rFonts w:cs="Arial"/>
          <w:color w:val="000000" w:themeColor="text1"/>
        </w:rPr>
      </w:pPr>
    </w:p>
    <w:p w:rsidR="00DC0BD4" w:rsidRDefault="00DC0BD4" w:rsidP="006C3390">
      <w:pPr>
        <w:jc w:val="both"/>
        <w:rPr>
          <w:rFonts w:cs="Arial"/>
        </w:rPr>
      </w:pPr>
    </w:p>
    <w:p w:rsidR="006A2C36" w:rsidRDefault="00903D7D" w:rsidP="006C3390">
      <w:pPr>
        <w:jc w:val="both"/>
        <w:rPr>
          <w:rFonts w:cs="Arial"/>
        </w:rPr>
      </w:pPr>
      <w:r>
        <w:rPr>
          <w:rFonts w:cs="Arial"/>
          <w:b/>
        </w:rPr>
        <w:t>Please note that</w:t>
      </w:r>
      <w:r w:rsidR="003D7A6B" w:rsidRPr="009437BC">
        <w:rPr>
          <w:rFonts w:cs="Arial"/>
          <w:b/>
        </w:rPr>
        <w:t xml:space="preserve"> </w:t>
      </w:r>
      <w:r w:rsidR="00503165">
        <w:rPr>
          <w:rFonts w:cs="Arial"/>
          <w:b/>
        </w:rPr>
        <w:t>Recruit Sligo/Leitrim</w:t>
      </w:r>
      <w:r w:rsidR="009437BC" w:rsidRPr="009437BC">
        <w:rPr>
          <w:rFonts w:cs="Arial"/>
          <w:b/>
        </w:rPr>
        <w:t xml:space="preserve"> </w:t>
      </w:r>
      <w:r w:rsidR="006A2C36"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sidR="006A2C36">
        <w:rPr>
          <w:rFonts w:cs="Arial"/>
        </w:rPr>
        <w:t>therefore it is most important that your email address is include</w:t>
      </w:r>
      <w:r w:rsidR="00855A34">
        <w:rPr>
          <w:rFonts w:cs="Arial"/>
        </w:rPr>
        <w:t xml:space="preserve">d on your application form.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A492B" w:rsidRDefault="006A492B"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p>
    <w:p w:rsidR="00B15A28" w:rsidRDefault="00B15A28" w:rsidP="006C3390">
      <w:pPr>
        <w:jc w:val="both"/>
        <w:rPr>
          <w:rFonts w:cs="Arial"/>
        </w:rPr>
      </w:pPr>
    </w:p>
    <w:p w:rsidR="00B15A28" w:rsidRDefault="00B15A28"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bookmarkStart w:id="0" w:name="_GoBack"/>
      <w:bookmarkEnd w:id="0"/>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903D7D" w:rsidP="00AF4ECC">
      <w:pPr>
        <w:pStyle w:val="NormalWeb"/>
        <w:rPr>
          <w:rFonts w:ascii="Arial" w:eastAsia="Times New Roman" w:hAnsi="Arial" w:cs="Arial"/>
          <w:bCs/>
          <w:sz w:val="20"/>
          <w:szCs w:val="20"/>
        </w:rPr>
      </w:pPr>
      <w:hyperlink r:id="rId9" w:history="1">
        <w:r w:rsidR="00AF4ECC">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4415B8" w:rsidRPr="008F59BA" w:rsidRDefault="004415B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 xml:space="preserve">Appointments in the HSE are made under a recruitment license and are subject to Code of Practice established by the Commission for Public Service Appointments (CPSA). The Code of Practice provides </w:t>
      </w:r>
      <w:r w:rsidRPr="00067650">
        <w:rPr>
          <w:rFonts w:cs="Arial"/>
          <w:iCs/>
          <w:color w:val="000000"/>
        </w:rPr>
        <w:lastRenderedPageBreak/>
        <w:t>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9437BC">
        <w:rPr>
          <w:rFonts w:cs="Arial"/>
          <w:iCs/>
        </w:rPr>
        <w:t xml:space="preserve">Valerie Bradley , HR Manager </w:t>
      </w:r>
      <w:r w:rsidR="001A519A" w:rsidRPr="00C12980">
        <w:rPr>
          <w:rFonts w:cs="Arial"/>
          <w:iCs/>
        </w:rPr>
        <w:t>(</w:t>
      </w:r>
      <w:r w:rsidR="009437BC">
        <w:rPr>
          <w:rFonts w:cs="Arial"/>
          <w:iCs/>
        </w:rPr>
        <w:t>valerie.bradley</w:t>
      </w:r>
      <w:r w:rsidR="0013774F" w:rsidRPr="00C12980">
        <w:rPr>
          <w:rFonts w:cs="Arial"/>
          <w:iCs/>
        </w:rPr>
        <w:t>@hse.ie)</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503165" w:rsidP="006C3390">
      <w:pPr>
        <w:autoSpaceDE w:val="0"/>
        <w:autoSpaceDN w:val="0"/>
        <w:adjustRightInd w:val="0"/>
        <w:spacing w:after="240"/>
        <w:jc w:val="both"/>
        <w:rPr>
          <w:rFonts w:cs="Arial"/>
          <w:color w:val="0000FF"/>
          <w:u w:val="single"/>
        </w:rPr>
      </w:pPr>
      <w:r>
        <w:rPr>
          <w:rFonts w:cs="Arial"/>
          <w:color w:val="000000"/>
        </w:rPr>
        <w:t>Recruit Sligo/Leitrim</w:t>
      </w:r>
      <w:r w:rsidR="00192403">
        <w:rPr>
          <w:rFonts w:cs="Arial"/>
          <w:color w:val="000000"/>
        </w:rPr>
        <w:t xml:space="preserve"> is committed to protecting your privacy and takes the security of your information very seriously. </w:t>
      </w:r>
      <w:r>
        <w:rPr>
          <w:rFonts w:cs="Arial"/>
          <w:color w:val="000000"/>
        </w:rPr>
        <w:t>Recruit Sligo/Leitrim</w:t>
      </w:r>
      <w:r w:rsidR="009437BC">
        <w:rPr>
          <w:rFonts w:cs="Arial"/>
          <w:color w:val="000000"/>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004293" w:rsidRPr="00CE79DE" w:rsidRDefault="00004293" w:rsidP="00004293">
      <w:pPr>
        <w:pStyle w:val="BodyTextIndent"/>
        <w:ind w:left="0" w:firstLine="0"/>
        <w:rPr>
          <w:rFonts w:ascii="Arial" w:hAnsi="Arial" w:cs="Arial"/>
          <w:b/>
          <w:color w:val="000000"/>
          <w:sz w:val="22"/>
          <w:szCs w:val="20"/>
        </w:rPr>
      </w:pPr>
      <w:r w:rsidRPr="00CE79DE">
        <w:rPr>
          <w:rFonts w:ascii="Arial" w:hAnsi="Arial" w:cs="Arial"/>
          <w:b/>
          <w:color w:val="000000"/>
          <w:sz w:val="22"/>
          <w:szCs w:val="20"/>
        </w:rPr>
        <w:t>Eligibility Criteria</w:t>
      </w:r>
    </w:p>
    <w:p w:rsidR="002A68D6" w:rsidRDefault="002A68D6" w:rsidP="00004293">
      <w:pPr>
        <w:pStyle w:val="BodyTextIndent"/>
        <w:ind w:left="0" w:firstLine="0"/>
        <w:rPr>
          <w:rFonts w:ascii="Arial" w:hAnsi="Arial" w:cs="Arial"/>
          <w:b/>
          <w:color w:val="000000"/>
          <w:sz w:val="20"/>
          <w:szCs w:val="20"/>
        </w:rPr>
      </w:pPr>
    </w:p>
    <w:p w:rsidR="00903D7D" w:rsidRDefault="00903D7D" w:rsidP="00903D7D">
      <w:pPr>
        <w:rPr>
          <w:rFonts w:cs="Arial"/>
          <w:b/>
          <w:bCs/>
          <w:iCs/>
        </w:rPr>
      </w:pPr>
      <w:r w:rsidRPr="00495049">
        <w:rPr>
          <w:rFonts w:cs="Arial"/>
          <w:b/>
          <w:bCs/>
          <w:iCs/>
        </w:rPr>
        <w:t>Candidates must have at the latest date of application:</w:t>
      </w:r>
    </w:p>
    <w:p w:rsidR="00903D7D" w:rsidRPr="00FB35AC" w:rsidRDefault="00903D7D" w:rsidP="00903D7D">
      <w:pPr>
        <w:rPr>
          <w:rFonts w:cs="Arial"/>
          <w:b/>
          <w:bCs/>
          <w:iCs/>
        </w:rPr>
      </w:pPr>
    </w:p>
    <w:p w:rsidR="00903D7D" w:rsidRPr="007D1D80" w:rsidRDefault="00903D7D" w:rsidP="00903D7D">
      <w:pPr>
        <w:autoSpaceDE w:val="0"/>
        <w:autoSpaceDN w:val="0"/>
        <w:adjustRightInd w:val="0"/>
        <w:spacing w:line="240" w:lineRule="atLeast"/>
        <w:rPr>
          <w:rFonts w:cs="Arial"/>
          <w:b/>
          <w:color w:val="000099"/>
          <w:u w:val="single"/>
        </w:rPr>
      </w:pPr>
      <w:r w:rsidRPr="007D1D80">
        <w:rPr>
          <w:rFonts w:cs="Arial"/>
          <w:b/>
          <w:color w:val="000000" w:themeColor="text1"/>
          <w:u w:val="single"/>
        </w:rPr>
        <w:t xml:space="preserve">1. Professional Qualifications. Experience. </w:t>
      </w:r>
      <w:proofErr w:type="gramStart"/>
      <w:r w:rsidRPr="007D1D80">
        <w:rPr>
          <w:rFonts w:cs="Arial"/>
          <w:b/>
          <w:color w:val="000000" w:themeColor="text1"/>
          <w:u w:val="single"/>
        </w:rPr>
        <w:t>etc</w:t>
      </w:r>
      <w:proofErr w:type="gramEnd"/>
      <w:r w:rsidRPr="007D1D80">
        <w:rPr>
          <w:rFonts w:cs="Arial"/>
          <w:b/>
          <w:color w:val="000099"/>
          <w:u w:val="single"/>
        </w:rPr>
        <w:t>.</w:t>
      </w:r>
    </w:p>
    <w:p w:rsidR="00903D7D" w:rsidRDefault="00903D7D" w:rsidP="00903D7D">
      <w:pPr>
        <w:autoSpaceDE w:val="0"/>
        <w:autoSpaceDN w:val="0"/>
        <w:adjustRightInd w:val="0"/>
        <w:spacing w:line="240" w:lineRule="atLeast"/>
        <w:rPr>
          <w:rFonts w:cs="Arial"/>
          <w:color w:val="000000" w:themeColor="text1"/>
        </w:rPr>
      </w:pPr>
      <w:r w:rsidRPr="007D1D80">
        <w:rPr>
          <w:rFonts w:cs="Arial"/>
          <w:color w:val="000000" w:themeColor="text1"/>
        </w:rPr>
        <w:t>Candidates must:</w:t>
      </w:r>
    </w:p>
    <w:p w:rsidR="00903D7D" w:rsidRPr="007D1D80" w:rsidRDefault="00903D7D" w:rsidP="00903D7D">
      <w:pPr>
        <w:autoSpaceDE w:val="0"/>
        <w:autoSpaceDN w:val="0"/>
        <w:adjustRightInd w:val="0"/>
        <w:spacing w:line="240" w:lineRule="atLeast"/>
        <w:rPr>
          <w:rFonts w:cs="Arial"/>
          <w:color w:val="000000" w:themeColor="text1"/>
        </w:rPr>
      </w:pPr>
    </w:p>
    <w:p w:rsidR="00903D7D" w:rsidRPr="007D1D80" w:rsidRDefault="00903D7D" w:rsidP="00903D7D">
      <w:pPr>
        <w:autoSpaceDE w:val="0"/>
        <w:autoSpaceDN w:val="0"/>
        <w:adjustRightInd w:val="0"/>
        <w:spacing w:line="240" w:lineRule="atLeast"/>
        <w:rPr>
          <w:rFonts w:cs="Arial"/>
          <w:color w:val="000000" w:themeColor="text1"/>
        </w:rPr>
      </w:pPr>
      <w:r w:rsidRPr="007D1D80">
        <w:rPr>
          <w:rFonts w:cs="Arial"/>
          <w:color w:val="000000" w:themeColor="text1"/>
        </w:rPr>
        <w:t xml:space="preserve">(a) Be registered in the Psychiatric Division of the Register of Nurses kept by </w:t>
      </w:r>
      <w:proofErr w:type="gramStart"/>
      <w:r w:rsidRPr="007D1D80">
        <w:rPr>
          <w:rFonts w:cs="Arial"/>
          <w:color w:val="000000" w:themeColor="text1"/>
        </w:rPr>
        <w:t>An</w:t>
      </w:r>
      <w:proofErr w:type="gramEnd"/>
    </w:p>
    <w:p w:rsidR="00903D7D" w:rsidRPr="007D1D80" w:rsidRDefault="00903D7D" w:rsidP="00903D7D">
      <w:pPr>
        <w:autoSpaceDE w:val="0"/>
        <w:autoSpaceDN w:val="0"/>
        <w:adjustRightInd w:val="0"/>
        <w:spacing w:line="240" w:lineRule="atLeast"/>
        <w:rPr>
          <w:rFonts w:cs="Arial"/>
          <w:color w:val="000000" w:themeColor="text1"/>
        </w:rPr>
      </w:pPr>
      <w:proofErr w:type="spellStart"/>
      <w:r w:rsidRPr="007D1D80">
        <w:rPr>
          <w:rFonts w:cs="Arial"/>
          <w:color w:val="000000" w:themeColor="text1"/>
        </w:rPr>
        <w:t>Bord</w:t>
      </w:r>
      <w:proofErr w:type="spellEnd"/>
      <w:r w:rsidRPr="007D1D80">
        <w:rPr>
          <w:rFonts w:cs="Arial"/>
          <w:color w:val="000000" w:themeColor="text1"/>
        </w:rPr>
        <w:t xml:space="preserve"> </w:t>
      </w:r>
      <w:proofErr w:type="spellStart"/>
      <w:r w:rsidRPr="007D1D80">
        <w:rPr>
          <w:rFonts w:cs="Arial"/>
          <w:color w:val="000000" w:themeColor="text1"/>
        </w:rPr>
        <w:t>Altranais</w:t>
      </w:r>
      <w:proofErr w:type="spellEnd"/>
      <w:r w:rsidRPr="007D1D80">
        <w:rPr>
          <w:rFonts w:cs="Arial"/>
          <w:color w:val="000000" w:themeColor="text1"/>
        </w:rPr>
        <w:t xml:space="preserve"> or be entitled to be so registered;</w:t>
      </w:r>
    </w:p>
    <w:p w:rsidR="00903D7D" w:rsidRPr="007D1D80" w:rsidRDefault="00903D7D" w:rsidP="00903D7D">
      <w:pPr>
        <w:autoSpaceDE w:val="0"/>
        <w:autoSpaceDN w:val="0"/>
        <w:adjustRightInd w:val="0"/>
        <w:spacing w:line="240" w:lineRule="atLeast"/>
        <w:rPr>
          <w:rFonts w:cs="Arial"/>
          <w:b/>
          <w:color w:val="000000" w:themeColor="text1"/>
          <w:u w:val="single"/>
        </w:rPr>
      </w:pPr>
      <w:proofErr w:type="gramStart"/>
      <w:r>
        <w:rPr>
          <w:rFonts w:cs="Arial"/>
          <w:b/>
          <w:color w:val="000000" w:themeColor="text1"/>
          <w:u w:val="single"/>
        </w:rPr>
        <w:t>and</w:t>
      </w:r>
      <w:proofErr w:type="gramEnd"/>
    </w:p>
    <w:p w:rsidR="00903D7D" w:rsidRPr="007D1D80" w:rsidRDefault="00903D7D" w:rsidP="00903D7D">
      <w:pPr>
        <w:autoSpaceDE w:val="0"/>
        <w:autoSpaceDN w:val="0"/>
        <w:adjustRightInd w:val="0"/>
        <w:spacing w:line="240" w:lineRule="atLeast"/>
        <w:rPr>
          <w:rFonts w:cs="Arial"/>
          <w:color w:val="000000" w:themeColor="text1"/>
        </w:rPr>
      </w:pPr>
      <w:r w:rsidRPr="007D1D80">
        <w:rPr>
          <w:rFonts w:cs="Arial"/>
          <w:color w:val="000000" w:themeColor="text1"/>
        </w:rPr>
        <w:t>(b) Have the clinical and administrative cap</w:t>
      </w:r>
      <w:r>
        <w:rPr>
          <w:rFonts w:cs="Arial"/>
          <w:color w:val="000000" w:themeColor="text1"/>
        </w:rPr>
        <w:t xml:space="preserve">acity </w:t>
      </w:r>
      <w:proofErr w:type="gramStart"/>
      <w:r>
        <w:rPr>
          <w:rFonts w:cs="Arial"/>
          <w:color w:val="000000" w:themeColor="text1"/>
        </w:rPr>
        <w:t>to properly discharge</w:t>
      </w:r>
      <w:proofErr w:type="gramEnd"/>
      <w:r>
        <w:rPr>
          <w:rFonts w:cs="Arial"/>
          <w:color w:val="000000" w:themeColor="text1"/>
        </w:rPr>
        <w:t xml:space="preserve"> the </w:t>
      </w:r>
      <w:r w:rsidRPr="007D1D80">
        <w:rPr>
          <w:rFonts w:cs="Arial"/>
          <w:color w:val="000000" w:themeColor="text1"/>
        </w:rPr>
        <w:t>functions of the role.</w:t>
      </w:r>
    </w:p>
    <w:p w:rsidR="00903D7D" w:rsidRDefault="00903D7D" w:rsidP="00903D7D">
      <w:pPr>
        <w:autoSpaceDE w:val="0"/>
        <w:autoSpaceDN w:val="0"/>
        <w:adjustRightInd w:val="0"/>
        <w:spacing w:line="240" w:lineRule="atLeast"/>
        <w:rPr>
          <w:rFonts w:cs="Arial"/>
          <w:color w:val="000000" w:themeColor="text1"/>
        </w:rPr>
      </w:pPr>
    </w:p>
    <w:p w:rsidR="00903D7D" w:rsidRDefault="00903D7D" w:rsidP="00903D7D">
      <w:pPr>
        <w:autoSpaceDE w:val="0"/>
        <w:autoSpaceDN w:val="0"/>
        <w:adjustRightInd w:val="0"/>
        <w:spacing w:line="240" w:lineRule="atLeast"/>
        <w:rPr>
          <w:rFonts w:cs="Arial"/>
          <w:color w:val="000000" w:themeColor="text1"/>
        </w:rPr>
      </w:pPr>
      <w:r w:rsidRPr="007D1D80">
        <w:rPr>
          <w:rFonts w:cs="Arial"/>
          <w:i/>
          <w:color w:val="000000" w:themeColor="text1"/>
        </w:rPr>
        <w:t xml:space="preserve">Note: Post holders must maintain annual registration with An </w:t>
      </w:r>
      <w:proofErr w:type="spellStart"/>
      <w:r w:rsidRPr="007D1D80">
        <w:rPr>
          <w:rFonts w:cs="Arial"/>
          <w:i/>
          <w:color w:val="000000" w:themeColor="text1"/>
        </w:rPr>
        <w:t>Bord</w:t>
      </w:r>
      <w:proofErr w:type="spellEnd"/>
      <w:r w:rsidRPr="007D1D80">
        <w:rPr>
          <w:rFonts w:cs="Arial"/>
          <w:i/>
          <w:color w:val="000000" w:themeColor="text1"/>
        </w:rPr>
        <w:t xml:space="preserve"> </w:t>
      </w:r>
      <w:proofErr w:type="spellStart"/>
      <w:r w:rsidRPr="007D1D80">
        <w:rPr>
          <w:rFonts w:cs="Arial"/>
          <w:i/>
          <w:color w:val="000000" w:themeColor="text1"/>
        </w:rPr>
        <w:t>Altranais</w:t>
      </w:r>
      <w:proofErr w:type="spellEnd"/>
      <w:r w:rsidRPr="007D1D80">
        <w:rPr>
          <w:rFonts w:cs="Arial"/>
          <w:color w:val="000000" w:themeColor="text1"/>
        </w:rPr>
        <w:t>.</w:t>
      </w:r>
    </w:p>
    <w:p w:rsidR="00903D7D" w:rsidRDefault="00903D7D" w:rsidP="00903D7D">
      <w:pPr>
        <w:autoSpaceDE w:val="0"/>
        <w:autoSpaceDN w:val="0"/>
        <w:adjustRightInd w:val="0"/>
        <w:spacing w:line="240" w:lineRule="atLeast"/>
        <w:rPr>
          <w:rFonts w:cs="Arial"/>
          <w:color w:val="000000" w:themeColor="text1"/>
        </w:rPr>
      </w:pPr>
    </w:p>
    <w:p w:rsidR="00903D7D" w:rsidRPr="003D5E92" w:rsidRDefault="00903D7D" w:rsidP="00903D7D">
      <w:pPr>
        <w:autoSpaceDE w:val="0"/>
        <w:autoSpaceDN w:val="0"/>
        <w:adjustRightInd w:val="0"/>
        <w:spacing w:line="240" w:lineRule="atLeast"/>
        <w:rPr>
          <w:rFonts w:cs="Arial"/>
          <w:b/>
          <w:color w:val="000000" w:themeColor="text1"/>
          <w:u w:val="single"/>
        </w:rPr>
      </w:pPr>
      <w:proofErr w:type="gramStart"/>
      <w:r w:rsidRPr="003D5E92">
        <w:rPr>
          <w:rFonts w:cs="Arial"/>
          <w:b/>
          <w:color w:val="000000" w:themeColor="text1"/>
          <w:u w:val="single"/>
        </w:rPr>
        <w:t>or</w:t>
      </w:r>
      <w:proofErr w:type="gramEnd"/>
    </w:p>
    <w:p w:rsidR="00903D7D" w:rsidRDefault="00903D7D" w:rsidP="00903D7D">
      <w:pPr>
        <w:autoSpaceDE w:val="0"/>
        <w:autoSpaceDN w:val="0"/>
        <w:adjustRightInd w:val="0"/>
        <w:spacing w:line="240" w:lineRule="atLeast"/>
        <w:rPr>
          <w:rFonts w:cs="Arial"/>
          <w:color w:val="000000" w:themeColor="text1"/>
        </w:rPr>
      </w:pPr>
      <w:r>
        <w:rPr>
          <w:rFonts w:cs="Arial"/>
          <w:color w:val="000000" w:themeColor="text1"/>
        </w:rPr>
        <w:t xml:space="preserve">Is </w:t>
      </w:r>
      <w:r w:rsidRPr="003D5E92">
        <w:rPr>
          <w:rFonts w:cs="Arial"/>
          <w:color w:val="000000" w:themeColor="text1"/>
        </w:rPr>
        <w:t>current</w:t>
      </w:r>
      <w:r>
        <w:rPr>
          <w:rFonts w:cs="Arial"/>
          <w:color w:val="000000" w:themeColor="text1"/>
        </w:rPr>
        <w:t>ly a</w:t>
      </w:r>
      <w:r w:rsidRPr="003D5E92">
        <w:rPr>
          <w:rFonts w:cs="Arial"/>
          <w:color w:val="000000" w:themeColor="text1"/>
        </w:rPr>
        <w:t xml:space="preserve"> 4th year psychiatric nursing degree student undergoing the 36-week clinical placement </w:t>
      </w:r>
      <w:r>
        <w:rPr>
          <w:rFonts w:cs="Arial"/>
          <w:color w:val="000000" w:themeColor="text1"/>
        </w:rPr>
        <w:t xml:space="preserve">and due to graduate in </w:t>
      </w:r>
      <w:proofErr w:type="gramStart"/>
      <w:r>
        <w:rPr>
          <w:rFonts w:cs="Arial"/>
          <w:color w:val="000000" w:themeColor="text1"/>
        </w:rPr>
        <w:t>2025.</w:t>
      </w:r>
      <w:proofErr w:type="gramEnd"/>
      <w:r>
        <w:rPr>
          <w:rFonts w:cs="Arial"/>
          <w:color w:val="000000" w:themeColor="text1"/>
        </w:rPr>
        <w:t xml:space="preserve"> </w:t>
      </w:r>
    </w:p>
    <w:p w:rsidR="00903D7D" w:rsidRPr="007D1D80" w:rsidRDefault="00903D7D" w:rsidP="00903D7D">
      <w:pPr>
        <w:autoSpaceDE w:val="0"/>
        <w:autoSpaceDN w:val="0"/>
        <w:adjustRightInd w:val="0"/>
        <w:spacing w:line="240" w:lineRule="atLeast"/>
        <w:rPr>
          <w:rFonts w:cs="Arial"/>
          <w:color w:val="000000" w:themeColor="text1"/>
        </w:rPr>
      </w:pPr>
    </w:p>
    <w:p w:rsidR="00903D7D" w:rsidRPr="007D1D80" w:rsidRDefault="00903D7D" w:rsidP="00903D7D">
      <w:pPr>
        <w:autoSpaceDE w:val="0"/>
        <w:autoSpaceDN w:val="0"/>
        <w:adjustRightInd w:val="0"/>
        <w:spacing w:line="240" w:lineRule="atLeast"/>
        <w:rPr>
          <w:rFonts w:cs="Arial"/>
          <w:b/>
          <w:color w:val="000000" w:themeColor="text1"/>
          <w:u w:val="single"/>
        </w:rPr>
      </w:pPr>
      <w:r w:rsidRPr="007D1D80">
        <w:rPr>
          <w:rFonts w:cs="Arial"/>
          <w:b/>
          <w:color w:val="000000" w:themeColor="text1"/>
          <w:u w:val="single"/>
        </w:rPr>
        <w:t>2. Age</w:t>
      </w:r>
    </w:p>
    <w:p w:rsidR="00903D7D" w:rsidRDefault="00903D7D" w:rsidP="00903D7D">
      <w:pPr>
        <w:autoSpaceDE w:val="0"/>
        <w:autoSpaceDN w:val="0"/>
        <w:adjustRightInd w:val="0"/>
        <w:spacing w:line="240" w:lineRule="atLeast"/>
        <w:rPr>
          <w:rFonts w:cs="Arial"/>
          <w:color w:val="000000" w:themeColor="text1"/>
        </w:rPr>
      </w:pPr>
      <w:r w:rsidRPr="007D1D80">
        <w:rPr>
          <w:rFonts w:cs="Arial"/>
          <w:color w:val="000000" w:themeColor="text1"/>
        </w:rPr>
        <w:t xml:space="preserve">Age restriction shall only apply to a candidate where he/she </w:t>
      </w:r>
      <w:proofErr w:type="gramStart"/>
      <w:r w:rsidRPr="007D1D80">
        <w:rPr>
          <w:rFonts w:cs="Arial"/>
          <w:color w:val="000000" w:themeColor="text1"/>
        </w:rPr>
        <w:t>is not classified</w:t>
      </w:r>
      <w:proofErr w:type="gramEnd"/>
      <w:r w:rsidRPr="007D1D80">
        <w:rPr>
          <w:rFonts w:cs="Arial"/>
          <w:color w:val="000000" w:themeColor="text1"/>
        </w:rPr>
        <w:t xml:space="preserve"> as a</w:t>
      </w:r>
      <w:r>
        <w:rPr>
          <w:rFonts w:cs="Arial"/>
          <w:color w:val="000000" w:themeColor="text1"/>
        </w:rPr>
        <w:t xml:space="preserve"> </w:t>
      </w:r>
      <w:r w:rsidRPr="007D1D80">
        <w:rPr>
          <w:rFonts w:cs="Arial"/>
          <w:color w:val="000000" w:themeColor="text1"/>
        </w:rPr>
        <w:t>new entrant (within the meaning of th</w:t>
      </w:r>
      <w:r>
        <w:rPr>
          <w:rFonts w:cs="Arial"/>
          <w:color w:val="000000" w:themeColor="text1"/>
        </w:rPr>
        <w:t xml:space="preserve">e Public Service Superannuation </w:t>
      </w:r>
      <w:r w:rsidRPr="007D1D80">
        <w:rPr>
          <w:rFonts w:cs="Arial"/>
          <w:color w:val="000000" w:themeColor="text1"/>
        </w:rPr>
        <w:t>(Miscellaneous Provisions) Act, 2004). Candidate</w:t>
      </w:r>
      <w:r>
        <w:rPr>
          <w:rFonts w:cs="Arial"/>
          <w:color w:val="000000" w:themeColor="text1"/>
        </w:rPr>
        <w:t xml:space="preserve"> who </w:t>
      </w:r>
      <w:proofErr w:type="gramStart"/>
      <w:r>
        <w:rPr>
          <w:rFonts w:cs="Arial"/>
          <w:color w:val="000000" w:themeColor="text1"/>
        </w:rPr>
        <w:t>is not classified</w:t>
      </w:r>
      <w:proofErr w:type="gramEnd"/>
      <w:r>
        <w:rPr>
          <w:rFonts w:cs="Arial"/>
          <w:color w:val="000000" w:themeColor="text1"/>
        </w:rPr>
        <w:t xml:space="preserve"> as a new </w:t>
      </w:r>
      <w:r w:rsidRPr="007D1D80">
        <w:rPr>
          <w:rFonts w:cs="Arial"/>
          <w:color w:val="000000" w:themeColor="text1"/>
        </w:rPr>
        <w:t>entrant must be under 65 years of age on the firs</w:t>
      </w:r>
      <w:r>
        <w:rPr>
          <w:rFonts w:cs="Arial"/>
          <w:color w:val="000000" w:themeColor="text1"/>
        </w:rPr>
        <w:t xml:space="preserve">t day of the month in which the </w:t>
      </w:r>
      <w:r w:rsidRPr="007D1D80">
        <w:rPr>
          <w:rFonts w:cs="Arial"/>
          <w:color w:val="000000" w:themeColor="text1"/>
        </w:rPr>
        <w:t>latest date for receiving completed application forms for the office occurs.</w:t>
      </w:r>
    </w:p>
    <w:p w:rsidR="00903D7D" w:rsidRPr="007D1D80" w:rsidRDefault="00903D7D" w:rsidP="00903D7D">
      <w:pPr>
        <w:autoSpaceDE w:val="0"/>
        <w:autoSpaceDN w:val="0"/>
        <w:adjustRightInd w:val="0"/>
        <w:spacing w:line="240" w:lineRule="atLeast"/>
        <w:rPr>
          <w:rFonts w:cs="Arial"/>
          <w:color w:val="000000" w:themeColor="text1"/>
        </w:rPr>
      </w:pPr>
    </w:p>
    <w:p w:rsidR="00903D7D" w:rsidRPr="007D1D80" w:rsidRDefault="00903D7D" w:rsidP="00903D7D">
      <w:pPr>
        <w:autoSpaceDE w:val="0"/>
        <w:autoSpaceDN w:val="0"/>
        <w:adjustRightInd w:val="0"/>
        <w:spacing w:line="240" w:lineRule="atLeast"/>
        <w:rPr>
          <w:rFonts w:cs="Arial"/>
          <w:b/>
          <w:color w:val="000000" w:themeColor="text1"/>
          <w:u w:val="single"/>
        </w:rPr>
      </w:pPr>
      <w:r w:rsidRPr="007D1D80">
        <w:rPr>
          <w:rFonts w:cs="Arial"/>
          <w:b/>
          <w:color w:val="000000" w:themeColor="text1"/>
          <w:u w:val="single"/>
        </w:rPr>
        <w:t>3. Health</w:t>
      </w:r>
    </w:p>
    <w:p w:rsidR="00903D7D" w:rsidRDefault="00903D7D" w:rsidP="00903D7D">
      <w:pPr>
        <w:autoSpaceDE w:val="0"/>
        <w:autoSpaceDN w:val="0"/>
        <w:adjustRightInd w:val="0"/>
        <w:spacing w:line="240" w:lineRule="atLeast"/>
        <w:rPr>
          <w:rFonts w:cs="Arial"/>
          <w:color w:val="000000" w:themeColor="text1"/>
        </w:rPr>
      </w:pPr>
      <w:r w:rsidRPr="007D1D80">
        <w:rPr>
          <w:rFonts w:cs="Arial"/>
          <w:color w:val="000000" w:themeColor="text1"/>
        </w:rPr>
        <w:t>Candidates for and any person holding the off</w:t>
      </w:r>
      <w:r>
        <w:rPr>
          <w:rFonts w:cs="Arial"/>
          <w:color w:val="000000" w:themeColor="text1"/>
        </w:rPr>
        <w:t xml:space="preserve">ice must be fully competent and </w:t>
      </w:r>
      <w:r w:rsidRPr="007D1D80">
        <w:rPr>
          <w:rFonts w:cs="Arial"/>
          <w:color w:val="000000" w:themeColor="text1"/>
        </w:rPr>
        <w:t>capable of undertaking the duties attached to the off</w:t>
      </w:r>
      <w:r>
        <w:rPr>
          <w:rFonts w:cs="Arial"/>
          <w:color w:val="000000" w:themeColor="text1"/>
        </w:rPr>
        <w:t xml:space="preserve">ice and be in a state of health </w:t>
      </w:r>
      <w:r w:rsidRPr="007D1D80">
        <w:rPr>
          <w:rFonts w:cs="Arial"/>
          <w:color w:val="000000" w:themeColor="text1"/>
        </w:rPr>
        <w:t>such as would indicate a reasonable prospect o</w:t>
      </w:r>
      <w:r>
        <w:rPr>
          <w:rFonts w:cs="Arial"/>
          <w:color w:val="000000" w:themeColor="text1"/>
        </w:rPr>
        <w:t xml:space="preserve">f ability to render regular and </w:t>
      </w:r>
      <w:r w:rsidRPr="007D1D80">
        <w:rPr>
          <w:rFonts w:cs="Arial"/>
          <w:color w:val="000000" w:themeColor="text1"/>
        </w:rPr>
        <w:t>efficient service.</w:t>
      </w:r>
    </w:p>
    <w:p w:rsidR="00903D7D" w:rsidRPr="007D1D80" w:rsidRDefault="00903D7D" w:rsidP="00903D7D">
      <w:pPr>
        <w:autoSpaceDE w:val="0"/>
        <w:autoSpaceDN w:val="0"/>
        <w:adjustRightInd w:val="0"/>
        <w:spacing w:line="240" w:lineRule="atLeast"/>
        <w:rPr>
          <w:rFonts w:cs="Arial"/>
          <w:b/>
          <w:color w:val="000000" w:themeColor="text1"/>
          <w:u w:val="single"/>
        </w:rPr>
      </w:pPr>
      <w:r w:rsidRPr="007D1D80">
        <w:rPr>
          <w:rFonts w:cs="Arial"/>
          <w:b/>
          <w:color w:val="000000" w:themeColor="text1"/>
          <w:u w:val="single"/>
        </w:rPr>
        <w:t>4. Character</w:t>
      </w:r>
    </w:p>
    <w:p w:rsidR="00903D7D" w:rsidRDefault="00903D7D" w:rsidP="00903D7D">
      <w:pPr>
        <w:rPr>
          <w:rFonts w:cs="Arial"/>
        </w:rPr>
      </w:pPr>
      <w:r w:rsidRPr="00495049">
        <w:rPr>
          <w:rFonts w:cs="Arial"/>
        </w:rPr>
        <w:t>Each candidate for and any person holding the office must be of good character.</w:t>
      </w:r>
    </w:p>
    <w:p w:rsidR="00541A2C" w:rsidRDefault="00541A2C" w:rsidP="00F96BBC">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lastRenderedPageBreak/>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3"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90515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903D7D" w:rsidP="006158B7">
      <w:pPr>
        <w:ind w:left="-360"/>
        <w:jc w:val="both"/>
        <w:rPr>
          <w:rFonts w:cs="Arial"/>
        </w:rPr>
      </w:pPr>
      <w:hyperlink r:id="rId1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03D7D" w:rsidP="006158B7">
      <w:pPr>
        <w:ind w:left="-360"/>
        <w:jc w:val="both"/>
        <w:rPr>
          <w:rFonts w:cs="Arial"/>
        </w:rPr>
      </w:pPr>
      <w:hyperlink r:id="rId1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03D7D" w:rsidP="006158B7">
      <w:pPr>
        <w:ind w:left="-360"/>
        <w:jc w:val="both"/>
        <w:rPr>
          <w:rFonts w:cs="Arial"/>
        </w:rPr>
      </w:pPr>
      <w:hyperlink r:id="rId1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903D7D" w:rsidP="006158B7">
      <w:pPr>
        <w:ind w:left="-360"/>
        <w:jc w:val="both"/>
        <w:rPr>
          <w:rFonts w:cs="Arial"/>
        </w:rPr>
      </w:pPr>
      <w:hyperlink r:id="rId1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Pr>
          <w:rFonts w:cs="Arial"/>
        </w:rPr>
        <w:t>garda</w:t>
      </w:r>
      <w:proofErr w:type="spellEnd"/>
      <w:r>
        <w:rPr>
          <w:rFonts w:cs="Arial"/>
        </w:rPr>
        <w:t xml:space="preserve"> vetting </w:t>
      </w:r>
      <w:proofErr w:type="spellStart"/>
      <w:r>
        <w:rPr>
          <w:rFonts w:cs="Arial"/>
        </w:rPr>
        <w:t>etc</w:t>
      </w:r>
      <w:proofErr w:type="spellEnd"/>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1E6404" w:rsidP="00BA2267">
      <w:pPr>
        <w:pStyle w:val="Footer"/>
        <w:tabs>
          <w:tab w:val="left" w:pos="720"/>
        </w:tabs>
        <w:rPr>
          <w:rFonts w:ascii="Arial" w:hAnsi="Arial" w:cs="Arial"/>
          <w:sz w:val="20"/>
          <w:lang w:val="en-US"/>
        </w:rPr>
      </w:pPr>
      <w:r>
        <w:rPr>
          <w:rFonts w:ascii="Arial" w:hAnsi="Arial" w:cs="Arial"/>
          <w:color w:val="000000"/>
          <w:sz w:val="20"/>
        </w:rPr>
        <w:t>Recruit Sligo/Leitrim</w:t>
      </w:r>
      <w:r w:rsidR="0060011E">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1E6404" w:rsidP="00BA2267">
      <w:pPr>
        <w:pStyle w:val="Footer"/>
        <w:tabs>
          <w:tab w:val="left" w:pos="720"/>
        </w:tabs>
        <w:rPr>
          <w:rFonts w:ascii="Arial" w:hAnsi="Arial" w:cs="Arial"/>
          <w:sz w:val="20"/>
          <w:lang w:val="en-US"/>
        </w:rPr>
      </w:pPr>
      <w:r>
        <w:rPr>
          <w:rFonts w:ascii="Arial" w:hAnsi="Arial" w:cs="Arial"/>
          <w:color w:val="000000"/>
          <w:sz w:val="20"/>
        </w:rPr>
        <w:t>Recruit Sligo/Leitrim</w:t>
      </w:r>
      <w:r w:rsidR="00A179FD">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1E6404">
        <w:rPr>
          <w:rFonts w:ascii="Arial" w:hAnsi="Arial" w:cs="Arial"/>
          <w:color w:val="000000"/>
          <w:sz w:val="20"/>
        </w:rPr>
        <w:t>Recruit Sligo/Leitrim</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1E6404">
        <w:rPr>
          <w:rFonts w:ascii="Arial" w:hAnsi="Arial" w:cs="Arial"/>
          <w:color w:val="000000"/>
          <w:sz w:val="20"/>
        </w:rPr>
        <w:t>Recruit Sligo/Leitrim</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headerReference w:type="default" r:id="rId18"/>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D6" w:rsidRDefault="002A68D6">
      <w:r>
        <w:separator/>
      </w:r>
    </w:p>
  </w:endnote>
  <w:endnote w:type="continuationSeparator" w:id="0">
    <w:p w:rsidR="002A68D6" w:rsidRDefault="002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100DA6" w:rsidRDefault="002A68D6"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903D7D">
      <w:rPr>
        <w:rFonts w:ascii="Arial" w:hAnsi="Arial" w:cs="Arial"/>
        <w:noProof/>
        <w:sz w:val="20"/>
      </w:rPr>
      <w:t>10</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7C596D" w:rsidRDefault="002A68D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2A68D6" w:rsidRPr="001A519A" w:rsidRDefault="002A68D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D6" w:rsidRDefault="002A68D6">
      <w:r>
        <w:separator/>
      </w:r>
    </w:p>
  </w:footnote>
  <w:footnote w:type="continuationSeparator" w:id="0">
    <w:p w:rsidR="002A68D6" w:rsidRDefault="002A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28" w:rsidRDefault="00B15A28" w:rsidP="00B15A28">
    <w:pPr>
      <w:pStyle w:val="Header"/>
      <w:jc w:val="right"/>
    </w:pPr>
    <w:r>
      <w:t>S</w:t>
    </w:r>
    <w:r w:rsidR="00903D7D">
      <w:t>LMH2503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05340"/>
    <w:multiLevelType w:val="hybridMultilevel"/>
    <w:tmpl w:val="D18A33E0"/>
    <w:lvl w:ilvl="0" w:tplc="B216A46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4"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15"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D6470"/>
    <w:multiLevelType w:val="hybridMultilevel"/>
    <w:tmpl w:val="484A8F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8"/>
  </w:num>
  <w:num w:numId="4">
    <w:abstractNumId w:val="2"/>
  </w:num>
  <w:num w:numId="5">
    <w:abstractNumId w:val="21"/>
  </w:num>
  <w:num w:numId="6">
    <w:abstractNumId w:val="23"/>
  </w:num>
  <w:num w:numId="7">
    <w:abstractNumId w:val="10"/>
  </w:num>
  <w:num w:numId="8">
    <w:abstractNumId w:val="19"/>
  </w:num>
  <w:num w:numId="9">
    <w:abstractNumId w:val="5"/>
  </w:num>
  <w:num w:numId="10">
    <w:abstractNumId w:val="22"/>
  </w:num>
  <w:num w:numId="11">
    <w:abstractNumId w:val="11"/>
  </w:num>
  <w:num w:numId="12">
    <w:abstractNumId w:val="16"/>
  </w:num>
  <w:num w:numId="13">
    <w:abstractNumId w:val="21"/>
  </w:num>
  <w:num w:numId="14">
    <w:abstractNumId w:val="12"/>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5"/>
  </w:num>
  <w:num w:numId="18">
    <w:abstractNumId w:val="13"/>
  </w:num>
  <w:num w:numId="19">
    <w:abstractNumId w:val="7"/>
  </w:num>
  <w:num w:numId="20">
    <w:abstractNumId w:val="0"/>
  </w:num>
  <w:num w:numId="21">
    <w:abstractNumId w:val="6"/>
  </w:num>
  <w:num w:numId="22">
    <w:abstractNumId w:val="4"/>
  </w:num>
  <w:num w:numId="23">
    <w:abstractNumId w:val="14"/>
  </w:num>
  <w:num w:numId="24">
    <w:abstractNumId w:val="3"/>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293"/>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A39F8"/>
    <w:rsid w:val="000A4340"/>
    <w:rsid w:val="000B25B8"/>
    <w:rsid w:val="000B2D68"/>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D3BB2"/>
    <w:rsid w:val="001E1D56"/>
    <w:rsid w:val="001E6404"/>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68D6"/>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5270"/>
    <w:rsid w:val="00347F4D"/>
    <w:rsid w:val="003523C2"/>
    <w:rsid w:val="00356CA7"/>
    <w:rsid w:val="00366B2E"/>
    <w:rsid w:val="003722EB"/>
    <w:rsid w:val="00375E0A"/>
    <w:rsid w:val="00380822"/>
    <w:rsid w:val="00382047"/>
    <w:rsid w:val="003A32EA"/>
    <w:rsid w:val="003B5DD0"/>
    <w:rsid w:val="003C25A3"/>
    <w:rsid w:val="003D19FA"/>
    <w:rsid w:val="003D3BC4"/>
    <w:rsid w:val="003D7284"/>
    <w:rsid w:val="003D7A6B"/>
    <w:rsid w:val="003E1D98"/>
    <w:rsid w:val="003F392C"/>
    <w:rsid w:val="00400EA6"/>
    <w:rsid w:val="004020F2"/>
    <w:rsid w:val="0040601D"/>
    <w:rsid w:val="0041010F"/>
    <w:rsid w:val="00422BE8"/>
    <w:rsid w:val="00425E47"/>
    <w:rsid w:val="00427434"/>
    <w:rsid w:val="00433275"/>
    <w:rsid w:val="004415B8"/>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165"/>
    <w:rsid w:val="00503691"/>
    <w:rsid w:val="005045FD"/>
    <w:rsid w:val="0051198F"/>
    <w:rsid w:val="00523F77"/>
    <w:rsid w:val="00525A77"/>
    <w:rsid w:val="0053040E"/>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D5C10"/>
    <w:rsid w:val="005E38AB"/>
    <w:rsid w:val="005E76F3"/>
    <w:rsid w:val="005F28FD"/>
    <w:rsid w:val="0060011E"/>
    <w:rsid w:val="00601E63"/>
    <w:rsid w:val="006028D6"/>
    <w:rsid w:val="00603B2A"/>
    <w:rsid w:val="0061247F"/>
    <w:rsid w:val="00614ED5"/>
    <w:rsid w:val="006158B7"/>
    <w:rsid w:val="006239B9"/>
    <w:rsid w:val="00625683"/>
    <w:rsid w:val="00626888"/>
    <w:rsid w:val="00627F85"/>
    <w:rsid w:val="006563C3"/>
    <w:rsid w:val="0066238B"/>
    <w:rsid w:val="00675B1F"/>
    <w:rsid w:val="006778F0"/>
    <w:rsid w:val="006808C4"/>
    <w:rsid w:val="00682D33"/>
    <w:rsid w:val="006A0D28"/>
    <w:rsid w:val="006A1C9D"/>
    <w:rsid w:val="006A2C36"/>
    <w:rsid w:val="006A492B"/>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3D7D"/>
    <w:rsid w:val="00905157"/>
    <w:rsid w:val="00907FDA"/>
    <w:rsid w:val="0091287C"/>
    <w:rsid w:val="00913EA2"/>
    <w:rsid w:val="009145FB"/>
    <w:rsid w:val="00917D9A"/>
    <w:rsid w:val="0092240B"/>
    <w:rsid w:val="00926E61"/>
    <w:rsid w:val="0094201B"/>
    <w:rsid w:val="00942A32"/>
    <w:rsid w:val="009437BC"/>
    <w:rsid w:val="00947CA3"/>
    <w:rsid w:val="00951BB5"/>
    <w:rsid w:val="009640CA"/>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4ECC"/>
    <w:rsid w:val="00AF66AE"/>
    <w:rsid w:val="00AF7860"/>
    <w:rsid w:val="00B006EA"/>
    <w:rsid w:val="00B031D3"/>
    <w:rsid w:val="00B11139"/>
    <w:rsid w:val="00B1304B"/>
    <w:rsid w:val="00B14C1C"/>
    <w:rsid w:val="00B14C43"/>
    <w:rsid w:val="00B15A28"/>
    <w:rsid w:val="00B20054"/>
    <w:rsid w:val="00B24B05"/>
    <w:rsid w:val="00B27705"/>
    <w:rsid w:val="00B37FFB"/>
    <w:rsid w:val="00B4413B"/>
    <w:rsid w:val="00B467DE"/>
    <w:rsid w:val="00B54673"/>
    <w:rsid w:val="00B63B83"/>
    <w:rsid w:val="00B80353"/>
    <w:rsid w:val="00B86CD1"/>
    <w:rsid w:val="00B92FC6"/>
    <w:rsid w:val="00B93C6D"/>
    <w:rsid w:val="00B9566E"/>
    <w:rsid w:val="00BA17F9"/>
    <w:rsid w:val="00BA2267"/>
    <w:rsid w:val="00BA4AB3"/>
    <w:rsid w:val="00BC4E29"/>
    <w:rsid w:val="00BC59A3"/>
    <w:rsid w:val="00BE366C"/>
    <w:rsid w:val="00C056E8"/>
    <w:rsid w:val="00C12980"/>
    <w:rsid w:val="00C1316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7901"/>
    <w:rsid w:val="00D47A6F"/>
    <w:rsid w:val="00D51672"/>
    <w:rsid w:val="00D525BE"/>
    <w:rsid w:val="00D52ACD"/>
    <w:rsid w:val="00D60E83"/>
    <w:rsid w:val="00D67BD0"/>
    <w:rsid w:val="00D72063"/>
    <w:rsid w:val="00D72851"/>
    <w:rsid w:val="00D779C5"/>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96BBC"/>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51201"/>
    <o:shapelayout v:ext="edit">
      <o:idmap v:ext="edit" data="1"/>
    </o:shapelayout>
  </w:shapeDefaults>
  <w:decimalSymbol w:val="."/>
  <w:listSeparator w:val=","/>
  <w14:docId w14:val="2E4B1D68"/>
  <w15:docId w15:val="{3A340E40-3D6F-445C-8B81-AE1AD0E9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ei.gov.i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www.police.uk/fo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1F6CE-9BC9-4B65-B3FA-318A07AB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5002</Words>
  <Characters>26653</Characters>
  <Application>Microsoft Office Word</Application>
  <DocSecurity>0</DocSecurity>
  <Lines>567</Lines>
  <Paragraphs>219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31436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Trevor Reynolds</cp:lastModifiedBy>
  <cp:revision>7</cp:revision>
  <cp:lastPrinted>2020-03-25T10:41:00Z</cp:lastPrinted>
  <dcterms:created xsi:type="dcterms:W3CDTF">2024-02-14T15:50:00Z</dcterms:created>
  <dcterms:modified xsi:type="dcterms:W3CDTF">2025-04-02T09:28:00Z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8f247b0120c5b3bf43e55990a0ebc35f1122c0b082d5ca82a981c902d7b95997</vt:lpwstr>
  </property>
</Properties>
</file>