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A27F" w14:textId="77777777" w:rsidR="00A91C21" w:rsidRDefault="00A91C21" w:rsidP="001142BB">
      <w:pPr>
        <w:pStyle w:val="Title"/>
        <w:jc w:val="center"/>
        <w:rPr>
          <w:rFonts w:ascii="Arial" w:eastAsia="Times New Roman" w:hAnsi="Arial" w:cs="Arial"/>
          <w:sz w:val="22"/>
          <w:szCs w:val="22"/>
          <w:lang w:val="en-GB" w:eastAsia="zh-CN"/>
        </w:rPr>
      </w:pPr>
    </w:p>
    <w:p w14:paraId="715BBF1F" w14:textId="77777777" w:rsidR="00A91C21" w:rsidRDefault="00A91C21" w:rsidP="001142BB">
      <w:pPr>
        <w:pStyle w:val="Title"/>
        <w:jc w:val="center"/>
        <w:rPr>
          <w:rFonts w:ascii="Arial" w:eastAsia="Times New Roman" w:hAnsi="Arial" w:cs="Arial"/>
          <w:sz w:val="22"/>
          <w:szCs w:val="22"/>
          <w:lang w:val="en-GB" w:eastAsia="zh-CN"/>
        </w:rPr>
      </w:pPr>
    </w:p>
    <w:p w14:paraId="67BFF20F" w14:textId="77777777" w:rsidR="00A91C21" w:rsidRDefault="00A91C21" w:rsidP="001142BB">
      <w:pPr>
        <w:pStyle w:val="Title"/>
        <w:jc w:val="center"/>
        <w:rPr>
          <w:rFonts w:ascii="Arial" w:eastAsia="Times New Roman" w:hAnsi="Arial" w:cs="Arial"/>
          <w:sz w:val="22"/>
          <w:szCs w:val="22"/>
          <w:lang w:val="en-GB" w:eastAsia="zh-CN"/>
        </w:rPr>
      </w:pPr>
    </w:p>
    <w:p w14:paraId="49B61592"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AEFC0"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337C773C" w14:textId="77777777" w:rsidR="00B42738" w:rsidRDefault="00B42738" w:rsidP="00B42738">
                            <w:pPr>
                              <w:pStyle w:val="Contacts12"/>
                              <w:spacing w:after="0"/>
                            </w:pPr>
                          </w:p>
                          <w:p w14:paraId="48F71482"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49DAA5A7" w14:textId="77777777" w:rsidR="00B42738" w:rsidRDefault="00B42738" w:rsidP="00B42738">
                            <w:pPr>
                              <w:pStyle w:val="Contacts10"/>
                              <w:spacing w:after="0"/>
                              <w:rPr>
                                <w:rFonts w:cs="Arial"/>
                              </w:rPr>
                            </w:pPr>
                            <w:r>
                              <w:rPr>
                                <w:rFonts w:eastAsia="Calibri" w:cs="Arial"/>
                                <w:lang w:val="en-IE"/>
                              </w:rPr>
                              <w:t>Dublin 8, D08 W2A8</w:t>
                            </w:r>
                          </w:p>
                          <w:p w14:paraId="6411DD1E"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3A6AEFC0"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337C773C" w14:textId="77777777" w:rsidR="00B42738" w:rsidRDefault="00B42738" w:rsidP="00B42738">
                      <w:pPr>
                        <w:pStyle w:val="Contacts12"/>
                        <w:spacing w:after="0"/>
                      </w:pPr>
                    </w:p>
                    <w:p w14:paraId="48F71482"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49DAA5A7" w14:textId="77777777" w:rsidR="00B42738" w:rsidRDefault="00B42738" w:rsidP="00B42738">
                      <w:pPr>
                        <w:pStyle w:val="Contacts10"/>
                        <w:spacing w:after="0"/>
                        <w:rPr>
                          <w:rFonts w:cs="Arial"/>
                        </w:rPr>
                      </w:pPr>
                      <w:r>
                        <w:rPr>
                          <w:rFonts w:eastAsia="Calibri" w:cs="Arial"/>
                          <w:lang w:val="en-IE"/>
                        </w:rPr>
                        <w:t>Dublin 8, D08 W2A8</w:t>
                      </w:r>
                    </w:p>
                    <w:p w14:paraId="6411DD1E"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F2300" w14:textId="77777777" w:rsidR="008658C0" w:rsidRDefault="008658C0" w:rsidP="008658C0">
                            <w:pPr>
                              <w:pStyle w:val="Contacts12"/>
                              <w:spacing w:after="0"/>
                            </w:pPr>
                            <w:r>
                              <w:t xml:space="preserve">Rannóg AD/CF </w:t>
                            </w:r>
                          </w:p>
                          <w:p w14:paraId="7B8E7291" w14:textId="77777777" w:rsidR="008658C0" w:rsidRDefault="008658C0" w:rsidP="008658C0">
                            <w:pPr>
                              <w:pStyle w:val="Contacts12"/>
                              <w:spacing w:after="0"/>
                            </w:pPr>
                            <w:r>
                              <w:t>Oibríochtaí Gnó</w:t>
                            </w:r>
                          </w:p>
                          <w:p w14:paraId="22CE0E07" w14:textId="77777777" w:rsidR="008658C0" w:rsidRDefault="008658C0" w:rsidP="008658C0">
                            <w:pPr>
                              <w:pStyle w:val="Contacts12"/>
                              <w:spacing w:after="0"/>
                              <w:rPr>
                                <w:b w:val="0"/>
                                <w:bCs/>
                              </w:rPr>
                            </w:pPr>
                            <w:r>
                              <w:rPr>
                                <w:b w:val="0"/>
                                <w:bCs/>
                              </w:rPr>
                              <w:t>Teicneolaíocht agus Trasfhoirmiú</w:t>
                            </w:r>
                          </w:p>
                          <w:p w14:paraId="55FCE501" w14:textId="77777777" w:rsidR="008658C0" w:rsidRDefault="008658C0" w:rsidP="008658C0">
                            <w:pPr>
                              <w:pStyle w:val="Contacts12"/>
                              <w:spacing w:after="0"/>
                              <w:rPr>
                                <w:b w:val="0"/>
                              </w:rPr>
                            </w:pPr>
                          </w:p>
                          <w:p w14:paraId="61EA359F" w14:textId="77777777" w:rsidR="008658C0" w:rsidRDefault="008658C0" w:rsidP="008658C0">
                            <w:pPr>
                              <w:pStyle w:val="Contacts10"/>
                            </w:pPr>
                            <w:r>
                              <w:t xml:space="preserve">FSS, Ospidéal Dr. Steevens </w:t>
                            </w:r>
                          </w:p>
                          <w:p w14:paraId="711801EE" w14:textId="77777777" w:rsidR="008658C0" w:rsidRPr="00015261" w:rsidRDefault="008658C0" w:rsidP="008658C0">
                            <w:pPr>
                              <w:pStyle w:val="Contacts10"/>
                              <w:rPr>
                                <w:lang w:val="en-IE"/>
                              </w:rPr>
                            </w:pPr>
                            <w:r>
                              <w:t>Baile Átha Cliath 8, D08 W2A8</w:t>
                            </w:r>
                          </w:p>
                          <w:p w14:paraId="410EFA40"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2E1F2300" w14:textId="77777777" w:rsidR="008658C0" w:rsidRDefault="008658C0" w:rsidP="008658C0">
                      <w:pPr>
                        <w:pStyle w:val="Contacts12"/>
                        <w:spacing w:after="0"/>
                      </w:pPr>
                      <w:r>
                        <w:t xml:space="preserve">Rannóg AD/CF </w:t>
                      </w:r>
                    </w:p>
                    <w:p w14:paraId="7B8E7291" w14:textId="77777777" w:rsidR="008658C0" w:rsidRDefault="008658C0" w:rsidP="008658C0">
                      <w:pPr>
                        <w:pStyle w:val="Contacts12"/>
                        <w:spacing w:after="0"/>
                      </w:pPr>
                      <w:r>
                        <w:t>Oibríochtaí Gnó</w:t>
                      </w:r>
                    </w:p>
                    <w:p w14:paraId="22CE0E07" w14:textId="77777777" w:rsidR="008658C0" w:rsidRDefault="008658C0" w:rsidP="008658C0">
                      <w:pPr>
                        <w:pStyle w:val="Contacts12"/>
                        <w:spacing w:after="0"/>
                        <w:rPr>
                          <w:b w:val="0"/>
                          <w:bCs/>
                        </w:rPr>
                      </w:pPr>
                      <w:r>
                        <w:rPr>
                          <w:b w:val="0"/>
                          <w:bCs/>
                        </w:rPr>
                        <w:t>Teicneolaíocht agus Trasfhoirmiú</w:t>
                      </w:r>
                    </w:p>
                    <w:p w14:paraId="55FCE501" w14:textId="77777777" w:rsidR="008658C0" w:rsidRDefault="008658C0" w:rsidP="008658C0">
                      <w:pPr>
                        <w:pStyle w:val="Contacts12"/>
                        <w:spacing w:after="0"/>
                        <w:rPr>
                          <w:b w:val="0"/>
                        </w:rPr>
                      </w:pPr>
                    </w:p>
                    <w:p w14:paraId="61EA359F" w14:textId="77777777" w:rsidR="008658C0" w:rsidRDefault="008658C0" w:rsidP="008658C0">
                      <w:pPr>
                        <w:pStyle w:val="Contacts10"/>
                      </w:pPr>
                      <w:r>
                        <w:t xml:space="preserve">FSS, Ospidéal Dr. Steevens </w:t>
                      </w:r>
                    </w:p>
                    <w:p w14:paraId="711801EE" w14:textId="77777777" w:rsidR="008658C0" w:rsidRPr="00015261" w:rsidRDefault="008658C0" w:rsidP="008658C0">
                      <w:pPr>
                        <w:pStyle w:val="Contacts10"/>
                        <w:rPr>
                          <w:lang w:val="en-IE"/>
                        </w:rPr>
                      </w:pPr>
                      <w:r>
                        <w:t>Baile Átha Cliath 8, D08 W2A8</w:t>
                      </w:r>
                    </w:p>
                    <w:p w14:paraId="410EFA40"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69665FFF" w14:textId="1F2717F0" w:rsidR="00050E29" w:rsidRPr="00B746D9" w:rsidRDefault="00050E29" w:rsidP="00050E2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AD732D">
        <w:rPr>
          <w:rFonts w:eastAsia="Times New Roman" w:cs="Arial"/>
          <w:b/>
          <w:iCs/>
          <w:sz w:val="24"/>
          <w:szCs w:val="24"/>
          <w:lang w:eastAsia="en-IE"/>
        </w:rPr>
        <w:t>Recruitment reference no</w:t>
      </w:r>
      <w:r w:rsidRPr="00037957">
        <w:rPr>
          <w:rFonts w:eastAsia="Times New Roman" w:cs="Arial"/>
          <w:b/>
          <w:iCs/>
          <w:sz w:val="24"/>
          <w:szCs w:val="24"/>
          <w:lang w:eastAsia="en-IE"/>
        </w:rPr>
        <w:t xml:space="preserve">: </w:t>
      </w:r>
      <w:r w:rsidR="00657C1D" w:rsidRPr="00037957">
        <w:rPr>
          <w:rFonts w:eastAsia="Times New Roman" w:cs="Arial"/>
          <w:b/>
          <w:iCs/>
          <w:sz w:val="24"/>
          <w:szCs w:val="24"/>
          <w:lang w:eastAsia="en-IE"/>
        </w:rPr>
        <w:t>T&amp;T/16/26 Programme Manager</w:t>
      </w:r>
    </w:p>
    <w:p w14:paraId="177DB14D"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4C078D85"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58CD0A25"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4D0B1DAF"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3E7EA029"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AD319B7"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7064867"/>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2F8E4CA3" w14:textId="5592F151"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00657C1D">
        <w:rPr>
          <w:rFonts w:ascii="Arial" w:eastAsia="Times New Roman" w:hAnsi="Arial" w:cs="Arial"/>
          <w:sz w:val="22"/>
          <w:szCs w:val="22"/>
        </w:rPr>
        <w:t xml:space="preserve"> Erica Byrne</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011EC3D0"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44AB7B1"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1175AC77" w14:textId="77777777" w:rsidR="00295211" w:rsidRPr="00295211" w:rsidRDefault="00295211">
          <w:pPr>
            <w:pStyle w:val="TOCHeading"/>
            <w:rPr>
              <w:b w:val="0"/>
              <w:color w:val="auto"/>
              <w:sz w:val="22"/>
              <w:szCs w:val="22"/>
            </w:rPr>
          </w:pPr>
          <w:r w:rsidRPr="00295211">
            <w:rPr>
              <w:b w:val="0"/>
              <w:color w:val="auto"/>
              <w:sz w:val="22"/>
              <w:szCs w:val="22"/>
            </w:rPr>
            <w:t>Contents</w:t>
          </w:r>
        </w:p>
        <w:p w14:paraId="40962723" w14:textId="042A9B18" w:rsidR="00675E6A"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7064867" w:history="1">
            <w:r w:rsidR="00675E6A" w:rsidRPr="00602A36">
              <w:rPr>
                <w:rStyle w:val="Hyperlink"/>
                <w:rFonts w:eastAsia="Times New Roman" w:cs="Arial"/>
                <w:noProof/>
                <w:lang w:val="en-GB" w:eastAsia="zh-CN"/>
              </w:rPr>
              <w:t>The HR / Recruitment Team Contact details:</w:t>
            </w:r>
            <w:r w:rsidR="00675E6A">
              <w:rPr>
                <w:noProof/>
                <w:webHidden/>
              </w:rPr>
              <w:tab/>
            </w:r>
            <w:r w:rsidR="00675E6A">
              <w:rPr>
                <w:noProof/>
                <w:webHidden/>
              </w:rPr>
              <w:fldChar w:fldCharType="begin"/>
            </w:r>
            <w:r w:rsidR="00675E6A">
              <w:rPr>
                <w:noProof/>
                <w:webHidden/>
              </w:rPr>
              <w:instrText xml:space="preserve"> PAGEREF _Toc227064867 \h </w:instrText>
            </w:r>
            <w:r w:rsidR="00675E6A">
              <w:rPr>
                <w:noProof/>
                <w:webHidden/>
              </w:rPr>
            </w:r>
            <w:r w:rsidR="00675E6A">
              <w:rPr>
                <w:noProof/>
                <w:webHidden/>
              </w:rPr>
              <w:fldChar w:fldCharType="separate"/>
            </w:r>
            <w:r w:rsidR="00675E6A">
              <w:rPr>
                <w:noProof/>
                <w:webHidden/>
              </w:rPr>
              <w:t>1</w:t>
            </w:r>
            <w:r w:rsidR="00675E6A">
              <w:rPr>
                <w:noProof/>
                <w:webHidden/>
              </w:rPr>
              <w:fldChar w:fldCharType="end"/>
            </w:r>
          </w:hyperlink>
        </w:p>
        <w:p w14:paraId="5B6840DB" w14:textId="3872D2A0"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68" w:history="1">
            <w:r w:rsidRPr="00602A36">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_Toc227064868 \h </w:instrText>
            </w:r>
            <w:r>
              <w:rPr>
                <w:noProof/>
                <w:webHidden/>
              </w:rPr>
            </w:r>
            <w:r>
              <w:rPr>
                <w:noProof/>
                <w:webHidden/>
              </w:rPr>
              <w:fldChar w:fldCharType="separate"/>
            </w:r>
            <w:r>
              <w:rPr>
                <w:noProof/>
                <w:webHidden/>
              </w:rPr>
              <w:t>2</w:t>
            </w:r>
            <w:r>
              <w:rPr>
                <w:noProof/>
                <w:webHidden/>
              </w:rPr>
              <w:fldChar w:fldCharType="end"/>
            </w:r>
          </w:hyperlink>
        </w:p>
        <w:p w14:paraId="498CF4EA" w14:textId="30C8446D"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69" w:history="1">
            <w:r w:rsidRPr="00602A36">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_Toc227064869 \h </w:instrText>
            </w:r>
            <w:r>
              <w:rPr>
                <w:noProof/>
                <w:webHidden/>
              </w:rPr>
            </w:r>
            <w:r>
              <w:rPr>
                <w:noProof/>
                <w:webHidden/>
              </w:rPr>
              <w:fldChar w:fldCharType="separate"/>
            </w:r>
            <w:r>
              <w:rPr>
                <w:noProof/>
                <w:webHidden/>
              </w:rPr>
              <w:t>3</w:t>
            </w:r>
            <w:r>
              <w:rPr>
                <w:noProof/>
                <w:webHidden/>
              </w:rPr>
              <w:fldChar w:fldCharType="end"/>
            </w:r>
          </w:hyperlink>
        </w:p>
        <w:p w14:paraId="3F9C894D" w14:textId="2AAAADD0"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70" w:history="1">
            <w:r w:rsidRPr="00602A36">
              <w:rPr>
                <w:rStyle w:val="Hyperlink"/>
                <w:rFonts w:eastAsia="Times New Roman" w:cs="Arial"/>
                <w:noProof/>
                <w:lang w:val="en-GB" w:eastAsia="zh-CN"/>
              </w:rPr>
              <w:t>Candidates on existing panels</w:t>
            </w:r>
            <w:r>
              <w:rPr>
                <w:noProof/>
                <w:webHidden/>
              </w:rPr>
              <w:tab/>
            </w:r>
            <w:r>
              <w:rPr>
                <w:noProof/>
                <w:webHidden/>
              </w:rPr>
              <w:fldChar w:fldCharType="begin"/>
            </w:r>
            <w:r>
              <w:rPr>
                <w:noProof/>
                <w:webHidden/>
              </w:rPr>
              <w:instrText xml:space="preserve"> PAGEREF _Toc227064870 \h </w:instrText>
            </w:r>
            <w:r>
              <w:rPr>
                <w:noProof/>
                <w:webHidden/>
              </w:rPr>
            </w:r>
            <w:r>
              <w:rPr>
                <w:noProof/>
                <w:webHidden/>
              </w:rPr>
              <w:fldChar w:fldCharType="separate"/>
            </w:r>
            <w:r>
              <w:rPr>
                <w:noProof/>
                <w:webHidden/>
              </w:rPr>
              <w:t>4</w:t>
            </w:r>
            <w:r>
              <w:rPr>
                <w:noProof/>
                <w:webHidden/>
              </w:rPr>
              <w:fldChar w:fldCharType="end"/>
            </w:r>
          </w:hyperlink>
        </w:p>
        <w:p w14:paraId="734C3612" w14:textId="1565402F"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71" w:history="1">
            <w:r w:rsidRPr="00602A36">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_Toc227064871 \h </w:instrText>
            </w:r>
            <w:r>
              <w:rPr>
                <w:noProof/>
                <w:webHidden/>
              </w:rPr>
            </w:r>
            <w:r>
              <w:rPr>
                <w:noProof/>
                <w:webHidden/>
              </w:rPr>
              <w:fldChar w:fldCharType="separate"/>
            </w:r>
            <w:r>
              <w:rPr>
                <w:noProof/>
                <w:webHidden/>
              </w:rPr>
              <w:t>4</w:t>
            </w:r>
            <w:r>
              <w:rPr>
                <w:noProof/>
                <w:webHidden/>
              </w:rPr>
              <w:fldChar w:fldCharType="end"/>
            </w:r>
          </w:hyperlink>
        </w:p>
        <w:p w14:paraId="4DC34E58" w14:textId="2B444447"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72" w:history="1">
            <w:r w:rsidRPr="00602A36">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_Toc227064872 \h </w:instrText>
            </w:r>
            <w:r>
              <w:rPr>
                <w:noProof/>
                <w:webHidden/>
              </w:rPr>
            </w:r>
            <w:r>
              <w:rPr>
                <w:noProof/>
                <w:webHidden/>
              </w:rPr>
              <w:fldChar w:fldCharType="separate"/>
            </w:r>
            <w:r>
              <w:rPr>
                <w:noProof/>
                <w:webHidden/>
              </w:rPr>
              <w:t>5</w:t>
            </w:r>
            <w:r>
              <w:rPr>
                <w:noProof/>
                <w:webHidden/>
              </w:rPr>
              <w:fldChar w:fldCharType="end"/>
            </w:r>
          </w:hyperlink>
        </w:p>
        <w:p w14:paraId="58A15EE8" w14:textId="06D2CA84"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73" w:history="1">
            <w:r w:rsidRPr="00602A36">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_Toc227064873 \h </w:instrText>
            </w:r>
            <w:r>
              <w:rPr>
                <w:noProof/>
                <w:webHidden/>
              </w:rPr>
            </w:r>
            <w:r>
              <w:rPr>
                <w:noProof/>
                <w:webHidden/>
              </w:rPr>
              <w:fldChar w:fldCharType="separate"/>
            </w:r>
            <w:r>
              <w:rPr>
                <w:noProof/>
                <w:webHidden/>
              </w:rPr>
              <w:t>6</w:t>
            </w:r>
            <w:r>
              <w:rPr>
                <w:noProof/>
                <w:webHidden/>
              </w:rPr>
              <w:fldChar w:fldCharType="end"/>
            </w:r>
          </w:hyperlink>
        </w:p>
        <w:p w14:paraId="41C2DB6C" w14:textId="772529C5"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74" w:history="1">
            <w:r w:rsidRPr="00602A36">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_Toc227064874 \h </w:instrText>
            </w:r>
            <w:r>
              <w:rPr>
                <w:noProof/>
                <w:webHidden/>
              </w:rPr>
            </w:r>
            <w:r>
              <w:rPr>
                <w:noProof/>
                <w:webHidden/>
              </w:rPr>
              <w:fldChar w:fldCharType="separate"/>
            </w:r>
            <w:r>
              <w:rPr>
                <w:noProof/>
                <w:webHidden/>
              </w:rPr>
              <w:t>6</w:t>
            </w:r>
            <w:r>
              <w:rPr>
                <w:noProof/>
                <w:webHidden/>
              </w:rPr>
              <w:fldChar w:fldCharType="end"/>
            </w:r>
          </w:hyperlink>
        </w:p>
        <w:p w14:paraId="6B68A2B6" w14:textId="5B2620D0"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75" w:history="1">
            <w:r w:rsidRPr="00602A36">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_Toc227064875 \h </w:instrText>
            </w:r>
            <w:r>
              <w:rPr>
                <w:noProof/>
                <w:webHidden/>
              </w:rPr>
            </w:r>
            <w:r>
              <w:rPr>
                <w:noProof/>
                <w:webHidden/>
              </w:rPr>
              <w:fldChar w:fldCharType="separate"/>
            </w:r>
            <w:r>
              <w:rPr>
                <w:noProof/>
                <w:webHidden/>
              </w:rPr>
              <w:t>6</w:t>
            </w:r>
            <w:r>
              <w:rPr>
                <w:noProof/>
                <w:webHidden/>
              </w:rPr>
              <w:fldChar w:fldCharType="end"/>
            </w:r>
          </w:hyperlink>
        </w:p>
        <w:p w14:paraId="28371036" w14:textId="1BB47795"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76" w:history="1">
            <w:r w:rsidRPr="00602A36">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_Toc227064876 \h </w:instrText>
            </w:r>
            <w:r>
              <w:rPr>
                <w:noProof/>
                <w:webHidden/>
              </w:rPr>
            </w:r>
            <w:r>
              <w:rPr>
                <w:noProof/>
                <w:webHidden/>
              </w:rPr>
              <w:fldChar w:fldCharType="separate"/>
            </w:r>
            <w:r>
              <w:rPr>
                <w:noProof/>
                <w:webHidden/>
              </w:rPr>
              <w:t>6</w:t>
            </w:r>
            <w:r>
              <w:rPr>
                <w:noProof/>
                <w:webHidden/>
              </w:rPr>
              <w:fldChar w:fldCharType="end"/>
            </w:r>
          </w:hyperlink>
        </w:p>
        <w:p w14:paraId="6375B744" w14:textId="6F43282D"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77" w:history="1">
            <w:r w:rsidRPr="00602A36">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_Toc227064877 \h </w:instrText>
            </w:r>
            <w:r>
              <w:rPr>
                <w:noProof/>
                <w:webHidden/>
              </w:rPr>
            </w:r>
            <w:r>
              <w:rPr>
                <w:noProof/>
                <w:webHidden/>
              </w:rPr>
              <w:fldChar w:fldCharType="separate"/>
            </w:r>
            <w:r>
              <w:rPr>
                <w:noProof/>
                <w:webHidden/>
              </w:rPr>
              <w:t>7</w:t>
            </w:r>
            <w:r>
              <w:rPr>
                <w:noProof/>
                <w:webHidden/>
              </w:rPr>
              <w:fldChar w:fldCharType="end"/>
            </w:r>
          </w:hyperlink>
        </w:p>
        <w:p w14:paraId="360488C4" w14:textId="26B62D21"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78" w:history="1">
            <w:r w:rsidRPr="00602A36">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_Toc227064878 \h </w:instrText>
            </w:r>
            <w:r>
              <w:rPr>
                <w:noProof/>
                <w:webHidden/>
              </w:rPr>
            </w:r>
            <w:r>
              <w:rPr>
                <w:noProof/>
                <w:webHidden/>
              </w:rPr>
              <w:fldChar w:fldCharType="separate"/>
            </w:r>
            <w:r>
              <w:rPr>
                <w:noProof/>
                <w:webHidden/>
              </w:rPr>
              <w:t>8</w:t>
            </w:r>
            <w:r>
              <w:rPr>
                <w:noProof/>
                <w:webHidden/>
              </w:rPr>
              <w:fldChar w:fldCharType="end"/>
            </w:r>
          </w:hyperlink>
        </w:p>
        <w:p w14:paraId="66FF919B" w14:textId="07D49B0F"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79" w:history="1">
            <w:r w:rsidRPr="00602A36">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_Toc227064879 \h </w:instrText>
            </w:r>
            <w:r>
              <w:rPr>
                <w:noProof/>
                <w:webHidden/>
              </w:rPr>
            </w:r>
            <w:r>
              <w:rPr>
                <w:noProof/>
                <w:webHidden/>
              </w:rPr>
              <w:fldChar w:fldCharType="separate"/>
            </w:r>
            <w:r>
              <w:rPr>
                <w:noProof/>
                <w:webHidden/>
              </w:rPr>
              <w:t>8</w:t>
            </w:r>
            <w:r>
              <w:rPr>
                <w:noProof/>
                <w:webHidden/>
              </w:rPr>
              <w:fldChar w:fldCharType="end"/>
            </w:r>
          </w:hyperlink>
        </w:p>
        <w:p w14:paraId="7581CF4E" w14:textId="69D867E7"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80" w:history="1">
            <w:r w:rsidRPr="00602A36">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_Toc227064880 \h </w:instrText>
            </w:r>
            <w:r>
              <w:rPr>
                <w:noProof/>
                <w:webHidden/>
              </w:rPr>
            </w:r>
            <w:r>
              <w:rPr>
                <w:noProof/>
                <w:webHidden/>
              </w:rPr>
              <w:fldChar w:fldCharType="separate"/>
            </w:r>
            <w:r>
              <w:rPr>
                <w:noProof/>
                <w:webHidden/>
              </w:rPr>
              <w:t>8</w:t>
            </w:r>
            <w:r>
              <w:rPr>
                <w:noProof/>
                <w:webHidden/>
              </w:rPr>
              <w:fldChar w:fldCharType="end"/>
            </w:r>
          </w:hyperlink>
        </w:p>
        <w:p w14:paraId="0FFAE80A" w14:textId="44921544"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81" w:history="1">
            <w:r w:rsidRPr="00602A36">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_Toc227064881 \h </w:instrText>
            </w:r>
            <w:r>
              <w:rPr>
                <w:noProof/>
                <w:webHidden/>
              </w:rPr>
            </w:r>
            <w:r>
              <w:rPr>
                <w:noProof/>
                <w:webHidden/>
              </w:rPr>
              <w:fldChar w:fldCharType="separate"/>
            </w:r>
            <w:r>
              <w:rPr>
                <w:noProof/>
                <w:webHidden/>
              </w:rPr>
              <w:t>8</w:t>
            </w:r>
            <w:r>
              <w:rPr>
                <w:noProof/>
                <w:webHidden/>
              </w:rPr>
              <w:fldChar w:fldCharType="end"/>
            </w:r>
          </w:hyperlink>
        </w:p>
        <w:p w14:paraId="27A46F1F" w14:textId="3760F9FE"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82" w:history="1">
            <w:r w:rsidRPr="00602A36">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_Toc227064882 \h </w:instrText>
            </w:r>
            <w:r>
              <w:rPr>
                <w:noProof/>
                <w:webHidden/>
              </w:rPr>
            </w:r>
            <w:r>
              <w:rPr>
                <w:noProof/>
                <w:webHidden/>
              </w:rPr>
              <w:fldChar w:fldCharType="separate"/>
            </w:r>
            <w:r>
              <w:rPr>
                <w:noProof/>
                <w:webHidden/>
              </w:rPr>
              <w:t>9</w:t>
            </w:r>
            <w:r>
              <w:rPr>
                <w:noProof/>
                <w:webHidden/>
              </w:rPr>
              <w:fldChar w:fldCharType="end"/>
            </w:r>
          </w:hyperlink>
        </w:p>
        <w:p w14:paraId="6A47C789" w14:textId="6125BCAB"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83" w:history="1">
            <w:r w:rsidRPr="00602A36">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_Toc227064883 \h </w:instrText>
            </w:r>
            <w:r>
              <w:rPr>
                <w:noProof/>
                <w:webHidden/>
              </w:rPr>
            </w:r>
            <w:r>
              <w:rPr>
                <w:noProof/>
                <w:webHidden/>
              </w:rPr>
              <w:fldChar w:fldCharType="separate"/>
            </w:r>
            <w:r>
              <w:rPr>
                <w:noProof/>
                <w:webHidden/>
              </w:rPr>
              <w:t>10</w:t>
            </w:r>
            <w:r>
              <w:rPr>
                <w:noProof/>
                <w:webHidden/>
              </w:rPr>
              <w:fldChar w:fldCharType="end"/>
            </w:r>
          </w:hyperlink>
        </w:p>
        <w:p w14:paraId="5EBEB35A" w14:textId="16ECC4C1" w:rsidR="00675E6A" w:rsidRDefault="00675E6A">
          <w:pPr>
            <w:pStyle w:val="TOC1"/>
            <w:rPr>
              <w:rFonts w:asciiTheme="minorHAnsi" w:eastAsiaTheme="minorEastAsia" w:hAnsiTheme="minorHAnsi"/>
              <w:noProof/>
              <w:kern w:val="2"/>
              <w:sz w:val="24"/>
              <w:szCs w:val="24"/>
              <w:lang w:eastAsia="en-IE"/>
              <w14:ligatures w14:val="standardContextual"/>
            </w:rPr>
          </w:pPr>
          <w:hyperlink w:anchor="_Toc227064884" w:history="1">
            <w:r w:rsidRPr="00602A36">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_Toc227064884 \h </w:instrText>
            </w:r>
            <w:r>
              <w:rPr>
                <w:noProof/>
                <w:webHidden/>
              </w:rPr>
            </w:r>
            <w:r>
              <w:rPr>
                <w:noProof/>
                <w:webHidden/>
              </w:rPr>
              <w:fldChar w:fldCharType="separate"/>
            </w:r>
            <w:r>
              <w:rPr>
                <w:noProof/>
                <w:webHidden/>
              </w:rPr>
              <w:t>12</w:t>
            </w:r>
            <w:r>
              <w:rPr>
                <w:noProof/>
                <w:webHidden/>
              </w:rPr>
              <w:fldChar w:fldCharType="end"/>
            </w:r>
          </w:hyperlink>
        </w:p>
        <w:p w14:paraId="54F362B4" w14:textId="3153440F" w:rsidR="00675E6A" w:rsidRDefault="00675E6A">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7064885" w:history="1">
            <w:r w:rsidRPr="00602A36">
              <w:rPr>
                <w:rStyle w:val="Hyperlink"/>
                <w:noProof/>
              </w:rPr>
              <w:t>Appendix 2: EEA, Swiss, British and Non-EEA Applicants</w:t>
            </w:r>
            <w:r>
              <w:rPr>
                <w:noProof/>
                <w:webHidden/>
              </w:rPr>
              <w:tab/>
            </w:r>
            <w:r>
              <w:rPr>
                <w:noProof/>
                <w:webHidden/>
              </w:rPr>
              <w:fldChar w:fldCharType="begin"/>
            </w:r>
            <w:r>
              <w:rPr>
                <w:noProof/>
                <w:webHidden/>
              </w:rPr>
              <w:instrText xml:space="preserve"> PAGEREF _Toc227064885 \h </w:instrText>
            </w:r>
            <w:r>
              <w:rPr>
                <w:noProof/>
                <w:webHidden/>
              </w:rPr>
            </w:r>
            <w:r>
              <w:rPr>
                <w:noProof/>
                <w:webHidden/>
              </w:rPr>
              <w:fldChar w:fldCharType="separate"/>
            </w:r>
            <w:r>
              <w:rPr>
                <w:noProof/>
                <w:webHidden/>
              </w:rPr>
              <w:t>13</w:t>
            </w:r>
            <w:r>
              <w:rPr>
                <w:noProof/>
                <w:webHidden/>
              </w:rPr>
              <w:fldChar w:fldCharType="end"/>
            </w:r>
          </w:hyperlink>
        </w:p>
        <w:p w14:paraId="181E7985" w14:textId="1DC45736" w:rsidR="00675E6A" w:rsidRDefault="00675E6A">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7064886" w:history="1">
            <w:r w:rsidRPr="00602A36">
              <w:rPr>
                <w:rStyle w:val="Hyperlink"/>
                <w:noProof/>
              </w:rPr>
              <w:t>Appendix 3: Clearances</w:t>
            </w:r>
            <w:r>
              <w:rPr>
                <w:noProof/>
                <w:webHidden/>
              </w:rPr>
              <w:tab/>
            </w:r>
            <w:r>
              <w:rPr>
                <w:noProof/>
                <w:webHidden/>
              </w:rPr>
              <w:fldChar w:fldCharType="begin"/>
            </w:r>
            <w:r>
              <w:rPr>
                <w:noProof/>
                <w:webHidden/>
              </w:rPr>
              <w:instrText xml:space="preserve"> PAGEREF _Toc227064886 \h </w:instrText>
            </w:r>
            <w:r>
              <w:rPr>
                <w:noProof/>
                <w:webHidden/>
              </w:rPr>
            </w:r>
            <w:r>
              <w:rPr>
                <w:noProof/>
                <w:webHidden/>
              </w:rPr>
              <w:fldChar w:fldCharType="separate"/>
            </w:r>
            <w:r>
              <w:rPr>
                <w:noProof/>
                <w:webHidden/>
              </w:rPr>
              <w:t>15</w:t>
            </w:r>
            <w:r>
              <w:rPr>
                <w:noProof/>
                <w:webHidden/>
              </w:rPr>
              <w:fldChar w:fldCharType="end"/>
            </w:r>
          </w:hyperlink>
        </w:p>
        <w:p w14:paraId="6428ACE5" w14:textId="46681E44" w:rsidR="00675E6A" w:rsidRDefault="00675E6A">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7064887" w:history="1">
            <w:r w:rsidRPr="00602A36">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_Toc227064887 \h </w:instrText>
            </w:r>
            <w:r>
              <w:rPr>
                <w:noProof/>
                <w:webHidden/>
              </w:rPr>
            </w:r>
            <w:r>
              <w:rPr>
                <w:noProof/>
                <w:webHidden/>
              </w:rPr>
              <w:fldChar w:fldCharType="separate"/>
            </w:r>
            <w:r>
              <w:rPr>
                <w:noProof/>
                <w:webHidden/>
              </w:rPr>
              <w:t>17</w:t>
            </w:r>
            <w:r>
              <w:rPr>
                <w:noProof/>
                <w:webHidden/>
              </w:rPr>
              <w:fldChar w:fldCharType="end"/>
            </w:r>
          </w:hyperlink>
        </w:p>
        <w:p w14:paraId="077DB545" w14:textId="678B4307" w:rsidR="00675E6A" w:rsidRDefault="00675E6A">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7064888" w:history="1">
            <w:r w:rsidRPr="00602A36">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_Toc227064888 \h </w:instrText>
            </w:r>
            <w:r>
              <w:rPr>
                <w:noProof/>
                <w:webHidden/>
              </w:rPr>
            </w:r>
            <w:r>
              <w:rPr>
                <w:noProof/>
                <w:webHidden/>
              </w:rPr>
              <w:fldChar w:fldCharType="separate"/>
            </w:r>
            <w:r>
              <w:rPr>
                <w:noProof/>
                <w:webHidden/>
              </w:rPr>
              <w:t>18</w:t>
            </w:r>
            <w:r>
              <w:rPr>
                <w:noProof/>
                <w:webHidden/>
              </w:rPr>
              <w:fldChar w:fldCharType="end"/>
            </w:r>
          </w:hyperlink>
        </w:p>
        <w:p w14:paraId="03A4A687" w14:textId="7C9FD701" w:rsidR="00295211" w:rsidRDefault="00295211">
          <w:r>
            <w:rPr>
              <w:b/>
              <w:bCs/>
              <w:noProof/>
            </w:rPr>
            <w:fldChar w:fldCharType="end"/>
          </w:r>
        </w:p>
      </w:sdtContent>
    </w:sdt>
    <w:p w14:paraId="5E953D0B"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7064868"/>
      <w:r w:rsidRPr="00436CA9">
        <w:rPr>
          <w:rFonts w:eastAsia="Times New Roman" w:cs="Arial"/>
          <w:b w:val="0"/>
          <w:color w:val="000000" w:themeColor="text1"/>
          <w:sz w:val="22"/>
          <w:szCs w:val="22"/>
          <w:lang w:val="en-GB" w:eastAsia="zh-CN"/>
        </w:rPr>
        <w:t>Who should apply?</w:t>
      </w:r>
      <w:bookmarkEnd w:id="1"/>
    </w:p>
    <w:p w14:paraId="1E53AB16"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AD7278A"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B14839D"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5D0A1DDD" w14:textId="77777777" w:rsidR="00E34985" w:rsidRDefault="00E34985">
      <w:pPr>
        <w:rPr>
          <w:rFonts w:eastAsia="Times New Roman" w:cs="Arial"/>
          <w:sz w:val="22"/>
          <w:lang w:val="en-GB"/>
        </w:rPr>
      </w:pPr>
      <w:r>
        <w:rPr>
          <w:rFonts w:eastAsia="Times New Roman" w:cs="Arial"/>
          <w:sz w:val="22"/>
          <w:lang w:val="en-GB"/>
        </w:rPr>
        <w:br w:type="page"/>
      </w:r>
    </w:p>
    <w:p w14:paraId="68287CA0"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7442020E"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2355BD90"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2B55F523"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BA9FF8E"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proofErr w:type="gramStart"/>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able to</w:t>
      </w:r>
      <w:proofErr w:type="gramEnd"/>
      <w:r w:rsidR="00EE7E1A" w:rsidRPr="00436CA9">
        <w:rPr>
          <w:rFonts w:cs="Arial"/>
          <w:sz w:val="22"/>
        </w:rPr>
        <w:t xml:space="preserve">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7337609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2E81406E"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2F917FC6"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7064869"/>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7BDF912A"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4AD0E7FA"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4B603511"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44E09F72"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 xml:space="preserve">e require the same information from all candidates </w:t>
      </w:r>
      <w:proofErr w:type="gramStart"/>
      <w:r w:rsidR="00733AF6" w:rsidRPr="00436CA9">
        <w:rPr>
          <w:rFonts w:eastAsia="Times New Roman" w:cs="Arial"/>
          <w:sz w:val="22"/>
          <w:lang w:eastAsia="en-IE"/>
        </w:rPr>
        <w:t>in order to</w:t>
      </w:r>
      <w:proofErr w:type="gramEnd"/>
      <w:r w:rsidR="00733AF6" w:rsidRPr="00436CA9">
        <w:rPr>
          <w:rFonts w:eastAsia="Times New Roman" w:cs="Arial"/>
          <w:sz w:val="22"/>
          <w:lang w:eastAsia="en-IE"/>
        </w:rPr>
        <w:t xml:space="preserve"> make fair decisions on their applications</w:t>
      </w:r>
      <w:r w:rsidR="00720474" w:rsidRPr="00436CA9">
        <w:rPr>
          <w:rFonts w:eastAsia="Times New Roman" w:cs="Arial"/>
          <w:sz w:val="22"/>
          <w:lang w:eastAsia="en-IE"/>
        </w:rPr>
        <w:t xml:space="preserve">. </w:t>
      </w:r>
    </w:p>
    <w:p w14:paraId="7851C32F"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73B9DC0E"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C3BFA33"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63FA4CC5"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45FFE08"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41A131ED"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600533B4" w14:textId="77777777" w:rsidR="008A333F" w:rsidRPr="00436CA9" w:rsidRDefault="008A333F"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7064870"/>
      <w:r w:rsidRPr="00436CA9">
        <w:rPr>
          <w:rFonts w:eastAsia="Times New Roman" w:cs="Arial"/>
          <w:b w:val="0"/>
          <w:color w:val="000000" w:themeColor="text1"/>
          <w:sz w:val="22"/>
          <w:szCs w:val="22"/>
          <w:lang w:val="en-GB" w:eastAsia="zh-CN"/>
        </w:rPr>
        <w:t>Candidates on existing panels</w:t>
      </w:r>
      <w:bookmarkEnd w:id="3"/>
    </w:p>
    <w:p w14:paraId="429D5BBA" w14:textId="77777777" w:rsidR="001E6939" w:rsidRPr="008D5825" w:rsidRDefault="005260F8" w:rsidP="00436CA9">
      <w:pPr>
        <w:shd w:val="clear" w:color="auto" w:fill="FFFFFF"/>
        <w:spacing w:after="120" w:line="360" w:lineRule="auto"/>
        <w:rPr>
          <w:rFonts w:cs="Arial"/>
          <w:sz w:val="22"/>
        </w:rPr>
      </w:pPr>
      <w:r w:rsidRPr="00657C1D">
        <w:rPr>
          <w:rFonts w:cs="Arial"/>
          <w:sz w:val="22"/>
        </w:rPr>
        <w:t xml:space="preserve">If you are currently on </w:t>
      </w:r>
      <w:r w:rsidR="00CD1355" w:rsidRPr="00657C1D">
        <w:rPr>
          <w:rFonts w:cs="Arial"/>
          <w:sz w:val="22"/>
        </w:rPr>
        <w:t xml:space="preserve">a </w:t>
      </w:r>
      <w:r w:rsidR="003A1A5F" w:rsidRPr="00657C1D">
        <w:rPr>
          <w:rFonts w:cs="Arial"/>
          <w:sz w:val="22"/>
        </w:rPr>
        <w:t>[</w:t>
      </w:r>
      <w:r w:rsidR="004A5022" w:rsidRPr="00657C1D">
        <w:rPr>
          <w:rFonts w:cs="Arial"/>
          <w:sz w:val="22"/>
        </w:rPr>
        <w:t>national / bespoke / local</w:t>
      </w:r>
      <w:r w:rsidR="003A1A5F" w:rsidRPr="00657C1D">
        <w:rPr>
          <w:rFonts w:cs="Arial"/>
          <w:sz w:val="22"/>
        </w:rPr>
        <w:t>]</w:t>
      </w:r>
      <w:r w:rsidR="004A5022" w:rsidRPr="00657C1D">
        <w:rPr>
          <w:rFonts w:cs="Arial"/>
          <w:sz w:val="22"/>
        </w:rPr>
        <w:t xml:space="preserve"> p</w:t>
      </w:r>
      <w:r w:rsidRPr="00657C1D">
        <w:rPr>
          <w:rFonts w:cs="Arial"/>
          <w:sz w:val="22"/>
        </w:rPr>
        <w:t xml:space="preserve">anel for </w:t>
      </w:r>
      <w:r w:rsidR="00C4301C" w:rsidRPr="00657C1D">
        <w:rPr>
          <w:rFonts w:cs="Arial"/>
          <w:sz w:val="22"/>
        </w:rPr>
        <w:t xml:space="preserve">[insert job </w:t>
      </w:r>
      <w:r w:rsidR="004A5022" w:rsidRPr="00657C1D">
        <w:rPr>
          <w:rFonts w:cs="Arial"/>
          <w:sz w:val="22"/>
        </w:rPr>
        <w:t>title],</w:t>
      </w:r>
      <w:r w:rsidR="00C4301C" w:rsidRPr="00657C1D">
        <w:rPr>
          <w:rFonts w:cs="Arial"/>
          <w:sz w:val="22"/>
        </w:rPr>
        <w:t xml:space="preserve"> </w:t>
      </w:r>
      <w:r w:rsidRPr="00657C1D">
        <w:rPr>
          <w:rFonts w:cs="Arial"/>
          <w:sz w:val="22"/>
        </w:rPr>
        <w:t xml:space="preserve">you will have received a separate communication by email.  This communication will </w:t>
      </w:r>
      <w:r w:rsidR="00852D41" w:rsidRPr="00657C1D">
        <w:rPr>
          <w:rFonts w:cs="Arial"/>
          <w:sz w:val="22"/>
        </w:rPr>
        <w:t xml:space="preserve">advise </w:t>
      </w:r>
      <w:r w:rsidR="002E08E6" w:rsidRPr="00657C1D">
        <w:rPr>
          <w:rFonts w:cs="Arial"/>
          <w:sz w:val="22"/>
        </w:rPr>
        <w:t>whether</w:t>
      </w:r>
      <w:r w:rsidRPr="00657C1D">
        <w:rPr>
          <w:rFonts w:cs="Arial"/>
          <w:sz w:val="22"/>
        </w:rPr>
        <w:t xml:space="preserve"> the pan</w:t>
      </w:r>
      <w:r w:rsidR="001C2789" w:rsidRPr="00657C1D">
        <w:rPr>
          <w:rFonts w:cs="Arial"/>
          <w:sz w:val="22"/>
        </w:rPr>
        <w:t>el you are on is due to expire.</w:t>
      </w:r>
      <w:r w:rsidR="00CD6C36" w:rsidRPr="008D5825">
        <w:rPr>
          <w:rFonts w:cs="Arial"/>
          <w:sz w:val="22"/>
        </w:rPr>
        <w:t xml:space="preserve"> </w:t>
      </w:r>
    </w:p>
    <w:p w14:paraId="29D4D885"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4" w:name="_Toc227064871"/>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4"/>
    </w:p>
    <w:p w14:paraId="65833A02"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76555ACE"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4389893F"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0E630BD5"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 xml:space="preserve">order of </w:t>
      </w:r>
      <w:proofErr w:type="gramStart"/>
      <w:r w:rsidRPr="00436CA9">
        <w:rPr>
          <w:rFonts w:cs="Arial"/>
          <w:sz w:val="22"/>
        </w:rPr>
        <w:t>merit</w:t>
      </w:r>
      <w:r w:rsidR="00D7346A" w:rsidRPr="00436CA9">
        <w:rPr>
          <w:rFonts w:cs="Arial"/>
          <w:sz w:val="22"/>
        </w:rPr>
        <w:t>,</w:t>
      </w:r>
      <w:r w:rsidRPr="00436CA9">
        <w:rPr>
          <w:rFonts w:cs="Arial"/>
          <w:sz w:val="22"/>
        </w:rPr>
        <w:t xml:space="preserve"> and</w:t>
      </w:r>
      <w:proofErr w:type="gramEnd"/>
      <w:r w:rsidRPr="00436CA9">
        <w:rPr>
          <w:rFonts w:cs="Arial"/>
          <w:sz w:val="22"/>
        </w:rPr>
        <w:t xml:space="preserve">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08C9AAF9"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lastRenderedPageBreak/>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3BB0B599"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05338FB1"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61C3C5D"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4448511" w14:textId="77777777" w:rsidR="005F4C29" w:rsidRPr="00657C1D" w:rsidRDefault="005F4C29" w:rsidP="00436CA9">
      <w:pPr>
        <w:numPr>
          <w:ilvl w:val="0"/>
          <w:numId w:val="7"/>
        </w:numPr>
        <w:spacing w:after="120" w:line="360" w:lineRule="auto"/>
        <w:ind w:left="357" w:hanging="357"/>
        <w:rPr>
          <w:rFonts w:eastAsia="Times New Roman" w:cs="Arial"/>
          <w:bCs/>
          <w:sz w:val="22"/>
          <w:lang w:eastAsia="en-IE"/>
        </w:rPr>
      </w:pPr>
      <w:r w:rsidRPr="00657C1D">
        <w:rPr>
          <w:rFonts w:eastAsia="Times New Roman" w:cs="Arial"/>
          <w:bCs/>
          <w:sz w:val="22"/>
          <w:lang w:eastAsia="en-IE"/>
        </w:rPr>
        <w:t>If there is an existing panel in place</w:t>
      </w:r>
      <w:r w:rsidR="00E82D11" w:rsidRPr="00657C1D">
        <w:rPr>
          <w:rFonts w:eastAsia="Times New Roman" w:cs="Arial"/>
          <w:bCs/>
          <w:sz w:val="22"/>
          <w:lang w:eastAsia="en-IE"/>
        </w:rPr>
        <w:t>, it may</w:t>
      </w:r>
      <w:r w:rsidRPr="00657C1D">
        <w:rPr>
          <w:rFonts w:eastAsia="Times New Roman" w:cs="Arial"/>
          <w:bCs/>
          <w:sz w:val="22"/>
          <w:lang w:eastAsia="en-IE"/>
        </w:rPr>
        <w:t xml:space="preserve"> take precedence over the newly formed panel for this campaign.</w:t>
      </w:r>
      <w:r w:rsidR="00827B5C" w:rsidRPr="00657C1D">
        <w:rPr>
          <w:rFonts w:eastAsia="Times New Roman" w:cs="Arial"/>
          <w:bCs/>
          <w:sz w:val="22"/>
          <w:lang w:eastAsia="en-IE"/>
        </w:rPr>
        <w:t xml:space="preserve"> </w:t>
      </w:r>
      <w:hyperlink w:anchor="_Appendix:_5_Panel" w:history="1">
        <w:r w:rsidR="00762635" w:rsidRPr="00657C1D">
          <w:rPr>
            <w:rStyle w:val="Hyperlink"/>
            <w:rFonts w:eastAsia="Times New Roman" w:cs="Arial"/>
            <w:bCs/>
            <w:color w:val="auto"/>
            <w:sz w:val="22"/>
            <w:lang w:eastAsia="en-IE"/>
          </w:rPr>
          <w:t>Appendix 5</w:t>
        </w:r>
      </w:hyperlink>
      <w:r w:rsidR="00E82D11" w:rsidRPr="00657C1D">
        <w:rPr>
          <w:rStyle w:val="Hyperlink"/>
          <w:rFonts w:eastAsia="Times New Roman" w:cs="Arial"/>
          <w:bCs/>
          <w:color w:val="auto"/>
          <w:sz w:val="22"/>
          <w:lang w:eastAsia="en-IE"/>
        </w:rPr>
        <w:t xml:space="preserve"> </w:t>
      </w:r>
      <w:r w:rsidR="00E82D11" w:rsidRPr="00657C1D">
        <w:rPr>
          <w:rStyle w:val="Hyperlink"/>
          <w:rFonts w:eastAsia="Times New Roman" w:cs="Arial"/>
          <w:bCs/>
          <w:color w:val="auto"/>
          <w:sz w:val="22"/>
          <w:u w:val="none"/>
          <w:lang w:eastAsia="en-IE"/>
        </w:rPr>
        <w:t>provides full details on panel management rules</w:t>
      </w:r>
      <w:r w:rsidR="00827B5C" w:rsidRPr="00657C1D">
        <w:rPr>
          <w:rFonts w:eastAsia="Times New Roman" w:cs="Arial"/>
          <w:bCs/>
          <w:sz w:val="22"/>
          <w:lang w:eastAsia="en-IE"/>
        </w:rPr>
        <w:t>.</w:t>
      </w:r>
    </w:p>
    <w:p w14:paraId="73B1A960"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01BBBDAB"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1A67EAEB" w14:textId="11CED4C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 xml:space="preserve">are not </w:t>
      </w:r>
      <w:proofErr w:type="gramStart"/>
      <w:r w:rsidR="00657C1D" w:rsidRPr="00436CA9">
        <w:rPr>
          <w:rFonts w:eastAsia="Times New Roman" w:cs="Arial"/>
          <w:bCs/>
          <w:sz w:val="22"/>
          <w:lang w:eastAsia="en-IE"/>
        </w:rPr>
        <w:t>available, or</w:t>
      </w:r>
      <w:proofErr w:type="gramEnd"/>
      <w:r w:rsidR="005F4C29" w:rsidRPr="00436CA9">
        <w:rPr>
          <w:rFonts w:eastAsia="Times New Roman" w:cs="Arial"/>
          <w:bCs/>
          <w:sz w:val="22"/>
          <w:lang w:eastAsia="en-IE"/>
        </w:rPr>
        <w:t xml:space="preserve"> are unsatisfactory.  </w:t>
      </w:r>
    </w:p>
    <w:p w14:paraId="1FABE9C8"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21344ED0"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6EC03B08"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5" w:name="_Toc227064872"/>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5"/>
    </w:p>
    <w:p w14:paraId="5FA587F5"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6C5DAB20"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07AE4C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65A6C350"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499FAFED"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0E2CE51A"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6B5DCD4A"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08998E97"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5FFF054" w14:textId="77777777" w:rsidR="004F77B5" w:rsidRPr="00436CA9" w:rsidRDefault="000858B5" w:rsidP="00436CA9">
      <w:pPr>
        <w:spacing w:after="120" w:line="360" w:lineRule="auto"/>
        <w:rPr>
          <w:rFonts w:cs="Arial"/>
          <w:sz w:val="22"/>
        </w:rPr>
      </w:pPr>
      <w:r w:rsidRPr="00436CA9">
        <w:rPr>
          <w:rFonts w:cs="Arial"/>
          <w:sz w:val="22"/>
        </w:rPr>
        <w:lastRenderedPageBreak/>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46B38634"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6" w:name="_Toc227064873"/>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6"/>
    </w:p>
    <w:p w14:paraId="703061DD"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0B27477C"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7CEE1E9C"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w:t>
      </w:r>
      <w:proofErr w:type="gramStart"/>
      <w:r w:rsidR="00445984" w:rsidRPr="00436CA9">
        <w:rPr>
          <w:rFonts w:cs="Arial"/>
          <w:color w:val="000000"/>
          <w:sz w:val="22"/>
        </w:rPr>
        <w:t>us</w:t>
      </w:r>
      <w:proofErr w:type="gramEnd"/>
      <w:r w:rsidR="00445984" w:rsidRPr="00436CA9">
        <w:rPr>
          <w:rFonts w:cs="Arial"/>
          <w:color w:val="000000"/>
          <w:sz w:val="22"/>
        </w:rPr>
        <w:t xml:space="preserve">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56193A36"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20DB070E"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7" w:name="_Toc227064874"/>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7"/>
      <w:r w:rsidRPr="003A481C">
        <w:rPr>
          <w:rFonts w:eastAsia="Times New Roman"/>
          <w:b w:val="0"/>
          <w:color w:val="000000" w:themeColor="text1"/>
          <w:sz w:val="22"/>
          <w:szCs w:val="22"/>
          <w:lang w:val="en-GB" w:eastAsia="zh-CN"/>
        </w:rPr>
        <w:t xml:space="preserve"> </w:t>
      </w:r>
    </w:p>
    <w:p w14:paraId="0DAA6AF9"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DD67F7D"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8" w:name="_Toc227064875"/>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8"/>
    </w:p>
    <w:p w14:paraId="08E5BE9F"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70CE95ED"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w:t>
      </w:r>
      <w:proofErr w:type="gramStart"/>
      <w:r w:rsidRPr="00DF43AF">
        <w:rPr>
          <w:rFonts w:cs="Arial"/>
          <w:sz w:val="22"/>
        </w:rPr>
        <w:t>panel, and</w:t>
      </w:r>
      <w:proofErr w:type="gramEnd"/>
      <w:r w:rsidRPr="00DF43AF">
        <w:rPr>
          <w:rFonts w:cs="Arial"/>
          <w:sz w:val="22"/>
        </w:rPr>
        <w:t xml:space="preserve">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405A9FD5"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9" w:name="_Toc227064876"/>
      <w:r w:rsidRPr="00125EBD">
        <w:rPr>
          <w:rFonts w:eastAsia="Times New Roman"/>
          <w:b w:val="0"/>
          <w:color w:val="000000" w:themeColor="text1"/>
          <w:sz w:val="22"/>
          <w:szCs w:val="22"/>
          <w:lang w:val="en-GB" w:eastAsia="zh-CN"/>
        </w:rPr>
        <w:t>Marking System</w:t>
      </w:r>
      <w:bookmarkEnd w:id="9"/>
    </w:p>
    <w:p w14:paraId="6FB2763C"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2C6EBD0E"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 xml:space="preserve">We will </w:t>
      </w:r>
      <w:proofErr w:type="gramStart"/>
      <w:r w:rsidR="00125EBD">
        <w:rPr>
          <w:rFonts w:cs="Arial"/>
          <w:color w:val="000000"/>
          <w:sz w:val="22"/>
        </w:rPr>
        <w:t>chooses</w:t>
      </w:r>
      <w:proofErr w:type="gramEnd"/>
      <w:r w:rsidR="00125EBD">
        <w:rPr>
          <w:rFonts w:cs="Arial"/>
          <w:color w:val="000000"/>
          <w:sz w:val="22"/>
        </w:rPr>
        <w:t xml:space="preserve">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2F57933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4DB833C5"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2EA6F7A4"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67717B5"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1D55F62"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61B90A4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2DA3BFC5" w14:textId="77777777" w:rsidTr="000D0896">
        <w:trPr>
          <w:cantSplit/>
          <w:trHeight w:val="474"/>
        </w:trPr>
        <w:tc>
          <w:tcPr>
            <w:tcW w:w="9322" w:type="dxa"/>
            <w:gridSpan w:val="4"/>
            <w:shd w:val="clear" w:color="auto" w:fill="E2EAE7"/>
            <w:vAlign w:val="center"/>
          </w:tcPr>
          <w:p w14:paraId="12CBC07A"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263E2E8F" w14:textId="77777777" w:rsidTr="003C75C7">
        <w:trPr>
          <w:trHeight w:val="1343"/>
        </w:trPr>
        <w:tc>
          <w:tcPr>
            <w:tcW w:w="1980" w:type="dxa"/>
            <w:vAlign w:val="center"/>
          </w:tcPr>
          <w:p w14:paraId="7E00ABEC"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7AD0883F"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2D07E17C"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22620A9F"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04037CD7" w14:textId="77777777" w:rsidTr="000D0896">
        <w:trPr>
          <w:cantSplit/>
          <w:trHeight w:val="356"/>
        </w:trPr>
        <w:tc>
          <w:tcPr>
            <w:tcW w:w="1980" w:type="dxa"/>
            <w:shd w:val="clear" w:color="auto" w:fill="E2EAE7"/>
            <w:vAlign w:val="center"/>
          </w:tcPr>
          <w:p w14:paraId="3A8CF1A7"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4C1F5501"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690CF030"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30673FB3"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14D8EA2C" w14:textId="77777777" w:rsidR="00125EBD" w:rsidRDefault="00125EBD" w:rsidP="00436CA9">
      <w:pPr>
        <w:spacing w:after="120" w:line="360" w:lineRule="auto"/>
        <w:rPr>
          <w:rFonts w:cs="Arial"/>
          <w:sz w:val="22"/>
        </w:rPr>
      </w:pPr>
    </w:p>
    <w:p w14:paraId="609C57F3"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68E6E76E"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0" w:name="_Toc227064877"/>
      <w:r w:rsidRPr="00436CA9">
        <w:rPr>
          <w:rFonts w:eastAsia="Times New Roman"/>
          <w:b w:val="0"/>
          <w:color w:val="000000" w:themeColor="text1"/>
          <w:sz w:val="22"/>
          <w:szCs w:val="22"/>
          <w:lang w:val="en-GB" w:eastAsia="zh-CN"/>
        </w:rPr>
        <w:t>Future panels</w:t>
      </w:r>
      <w:bookmarkEnd w:id="10"/>
    </w:p>
    <w:p w14:paraId="7D496536"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 xml:space="preserve">he panel's lifespan to fill specified purpose and/or permanent vacancies that </w:t>
      </w:r>
      <w:r w:rsidRPr="00350318">
        <w:rPr>
          <w:rFonts w:eastAsia="Times New Roman" w:cs="Arial"/>
          <w:sz w:val="22"/>
          <w:lang w:eastAsia="en-IE"/>
        </w:rPr>
        <w:lastRenderedPageBreak/>
        <w:t>may arise. Panel management rules can be modified during the panel's lifespan based on service needs, and all remaining candidates will be notified of any changes.</w:t>
      </w:r>
    </w:p>
    <w:p w14:paraId="03BCCB4C"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1" w:name="_Toc227064878"/>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1"/>
      <w:r w:rsidR="009646AB" w:rsidRPr="00436CA9">
        <w:rPr>
          <w:rFonts w:eastAsia="Times New Roman"/>
          <w:b w:val="0"/>
          <w:color w:val="000000" w:themeColor="text1"/>
          <w:sz w:val="22"/>
          <w:szCs w:val="22"/>
          <w:lang w:val="en-GB" w:eastAsia="zh-CN"/>
        </w:rPr>
        <w:t xml:space="preserve"> </w:t>
      </w:r>
    </w:p>
    <w:p w14:paraId="7CCFCDB1"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4B12EA26"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2" w:name="_Toc227064879"/>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2"/>
      <w:r w:rsidR="009646AB" w:rsidRPr="00436CA9">
        <w:rPr>
          <w:rFonts w:eastAsia="Times New Roman"/>
          <w:b w:val="0"/>
          <w:color w:val="000000" w:themeColor="text1"/>
          <w:sz w:val="22"/>
          <w:szCs w:val="22"/>
          <w:lang w:val="en-GB" w:eastAsia="zh-CN"/>
        </w:rPr>
        <w:t xml:space="preserve"> </w:t>
      </w:r>
    </w:p>
    <w:p w14:paraId="2FAD8E8B"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0424310"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27064880"/>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3"/>
      <w:r w:rsidRPr="00436CA9">
        <w:rPr>
          <w:rFonts w:eastAsia="Times New Roman"/>
          <w:b w:val="0"/>
          <w:color w:val="000000" w:themeColor="text1"/>
          <w:sz w:val="22"/>
          <w:szCs w:val="22"/>
          <w:lang w:val="en-GB" w:eastAsia="zh-CN"/>
        </w:rPr>
        <w:t xml:space="preserve"> </w:t>
      </w:r>
    </w:p>
    <w:p w14:paraId="79138B1C"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7DCCAA41"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2FAC6DD6"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04FE65B7"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4" w:name="_Toc227064881"/>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4"/>
    </w:p>
    <w:p w14:paraId="2E90CF16"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4653BEA"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AB826F9" w14:textId="77777777" w:rsidR="0016327E" w:rsidRPr="00436CA9" w:rsidRDefault="0016327E" w:rsidP="00436CA9">
      <w:pPr>
        <w:spacing w:after="120" w:line="360" w:lineRule="auto"/>
        <w:rPr>
          <w:rFonts w:cs="Arial"/>
          <w:sz w:val="22"/>
        </w:rPr>
      </w:pPr>
      <w:r w:rsidRPr="00436CA9">
        <w:rPr>
          <w:rFonts w:cs="Arial"/>
          <w:sz w:val="22"/>
        </w:rPr>
        <w:lastRenderedPageBreak/>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5BBE351"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540C717E"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C6ACB28"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2800BC50"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3F45096D"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5687758F"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5B5DC6C"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4CD5DD2C"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4392B4D4"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6E300CAB"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4462EC4A"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220FA994"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4DE94C4F"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0A215FB9" w14:textId="77777777" w:rsidR="009637AB" w:rsidRPr="00181A57" w:rsidRDefault="009637AB" w:rsidP="009637AB">
      <w:pPr>
        <w:autoSpaceDE w:val="0"/>
        <w:autoSpaceDN w:val="0"/>
        <w:rPr>
          <w:iCs/>
          <w:sz w:val="22"/>
        </w:rPr>
      </w:pPr>
      <w:r w:rsidRPr="00181A57">
        <w:rPr>
          <w:iCs/>
          <w:sz w:val="22"/>
        </w:rPr>
        <w:t>Request must be submitted by email to Lorraine Speers, Formal Appeals Officer (</w:t>
      </w:r>
      <w:hyperlink r:id="rId22" w:history="1">
        <w:r w:rsidRPr="00181A57">
          <w:rPr>
            <w:rStyle w:val="Hyperlink"/>
            <w:iCs/>
            <w:sz w:val="22"/>
          </w:rPr>
          <w:t>appeals@technologyandtransformation@hse.ie</w:t>
        </w:r>
      </w:hyperlink>
      <w:r w:rsidRPr="00181A57">
        <w:rPr>
          <w:iCs/>
          <w:sz w:val="22"/>
        </w:rPr>
        <w:t xml:space="preserve">) within </w:t>
      </w:r>
      <w:r w:rsidRPr="00181A57">
        <w:rPr>
          <w:b/>
          <w:iCs/>
          <w:sz w:val="22"/>
        </w:rPr>
        <w:t>5 working days</w:t>
      </w:r>
      <w:r w:rsidRPr="00181A57">
        <w:rPr>
          <w:iCs/>
          <w:sz w:val="22"/>
        </w:rPr>
        <w:t xml:space="preserve"> of receipt of a decision.</w:t>
      </w:r>
    </w:p>
    <w:p w14:paraId="3D61FAB3"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27064882"/>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5"/>
      <w:r w:rsidRPr="00436CA9">
        <w:rPr>
          <w:rFonts w:eastAsia="Times New Roman"/>
          <w:b w:val="0"/>
          <w:color w:val="000000" w:themeColor="text1"/>
          <w:sz w:val="22"/>
          <w:szCs w:val="22"/>
          <w:lang w:val="en-GB" w:eastAsia="zh-CN"/>
        </w:rPr>
        <w:t xml:space="preserve">  </w:t>
      </w:r>
    </w:p>
    <w:p w14:paraId="72DB6B3B"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3" w:history="1">
        <w:r w:rsidRPr="006D2733">
          <w:rPr>
            <w:rStyle w:val="Hyperlink"/>
            <w:rFonts w:cs="Arial"/>
            <w:iCs/>
            <w:sz w:val="22"/>
          </w:rPr>
          <w:t>HSE Candidate Privacy Policy</w:t>
        </w:r>
      </w:hyperlink>
      <w:r w:rsidRPr="006D2733">
        <w:rPr>
          <w:rFonts w:cs="Arial"/>
          <w:iCs/>
          <w:sz w:val="22"/>
        </w:rPr>
        <w:t xml:space="preserve"> </w:t>
      </w:r>
    </w:p>
    <w:p w14:paraId="66ADBE34"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27064883"/>
      <w:r w:rsidRPr="00436CA9">
        <w:rPr>
          <w:rFonts w:eastAsia="Times New Roman"/>
          <w:b w:val="0"/>
          <w:color w:val="000000" w:themeColor="text1"/>
          <w:sz w:val="22"/>
          <w:szCs w:val="22"/>
          <w:lang w:val="en-GB" w:eastAsia="zh-CN"/>
        </w:rPr>
        <w:lastRenderedPageBreak/>
        <w:t>Superannuation / Pension Information</w:t>
      </w:r>
      <w:bookmarkEnd w:id="16"/>
      <w:r w:rsidRPr="00436CA9">
        <w:rPr>
          <w:rFonts w:eastAsia="Times New Roman"/>
          <w:b w:val="0"/>
          <w:color w:val="000000" w:themeColor="text1"/>
          <w:sz w:val="22"/>
          <w:szCs w:val="22"/>
          <w:lang w:val="en-GB" w:eastAsia="zh-CN"/>
        </w:rPr>
        <w:t xml:space="preserve"> </w:t>
      </w:r>
    </w:p>
    <w:p w14:paraId="3266AFD3"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87410D0" w14:textId="7777777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07B5C944"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3F6F70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14702376"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2D0D1DC4"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6B3BAF0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6BB5D284"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3959F64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4B4A0A6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727D56D2"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4D78B4D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ABE945E"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6C4EA214"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w:t>
      </w:r>
      <w:r w:rsidRPr="00295211">
        <w:rPr>
          <w:rFonts w:cs="Arial"/>
          <w:sz w:val="22"/>
        </w:rPr>
        <w:lastRenderedPageBreak/>
        <w:t xml:space="preserve">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1FACC17E" w14:textId="77777777"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187CBBA"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119F66F4"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2B3D63F3" w14:textId="77777777" w:rsidR="00E87E5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6D303BCA"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E729E67" w14:textId="77777777" w:rsidR="00B230FD" w:rsidRPr="00436CA9" w:rsidRDefault="00B230FD" w:rsidP="00436CA9">
      <w:pPr>
        <w:spacing w:after="120" w:line="360" w:lineRule="auto"/>
        <w:rPr>
          <w:rFonts w:cs="Arial"/>
          <w:sz w:val="22"/>
        </w:rPr>
      </w:pPr>
    </w:p>
    <w:p w14:paraId="3E33D685" w14:textId="77777777" w:rsidR="00335ABF" w:rsidRPr="00436CA9" w:rsidRDefault="00335ABF" w:rsidP="00436CA9">
      <w:pPr>
        <w:spacing w:after="120" w:line="360" w:lineRule="auto"/>
        <w:rPr>
          <w:rFonts w:cs="Arial"/>
          <w:sz w:val="22"/>
        </w:rPr>
      </w:pPr>
      <w:r w:rsidRPr="00436CA9">
        <w:rPr>
          <w:rFonts w:cs="Arial"/>
          <w:sz w:val="22"/>
        </w:rPr>
        <w:br w:type="page"/>
      </w:r>
    </w:p>
    <w:p w14:paraId="65B984F4" w14:textId="77777777" w:rsidR="00DB1DA3" w:rsidRPr="00181A57" w:rsidRDefault="00DB1DA3" w:rsidP="00DB1DA3">
      <w:pPr>
        <w:pStyle w:val="Heading1"/>
        <w:spacing w:line="240" w:lineRule="auto"/>
        <w:rPr>
          <w:rFonts w:cs="Arial"/>
          <w:sz w:val="22"/>
          <w:szCs w:val="22"/>
        </w:rPr>
      </w:pPr>
      <w:bookmarkStart w:id="17" w:name="_Appendix_2:_Applicant"/>
      <w:bookmarkStart w:id="18" w:name="_Toc211847959"/>
      <w:bookmarkStart w:id="19" w:name="_Toc221799138"/>
      <w:bookmarkStart w:id="20" w:name="_Toc227064884"/>
      <w:bookmarkEnd w:id="17"/>
      <w:r w:rsidRPr="00181A57">
        <w:rPr>
          <w:rFonts w:cs="Arial"/>
          <w:sz w:val="22"/>
          <w:szCs w:val="22"/>
        </w:rPr>
        <w:lastRenderedPageBreak/>
        <w:t>Appendices: Supplementary recruitment and selection process information</w:t>
      </w:r>
      <w:bookmarkEnd w:id="18"/>
      <w:bookmarkEnd w:id="19"/>
      <w:bookmarkEnd w:id="20"/>
      <w:r w:rsidRPr="00181A57">
        <w:rPr>
          <w:rFonts w:cs="Arial"/>
          <w:sz w:val="22"/>
          <w:szCs w:val="22"/>
        </w:rPr>
        <w:t xml:space="preserve"> </w:t>
      </w:r>
    </w:p>
    <w:p w14:paraId="192E8046" w14:textId="77777777" w:rsidR="00DB1DA3" w:rsidRPr="00181A57" w:rsidRDefault="00DB1DA3" w:rsidP="00DB1DA3">
      <w:pPr>
        <w:rPr>
          <w:b/>
          <w:bCs/>
          <w:sz w:val="22"/>
        </w:rPr>
      </w:pPr>
      <w:bookmarkStart w:id="21" w:name="_Appendix_1:_Eligibility"/>
      <w:bookmarkEnd w:id="21"/>
    </w:p>
    <w:p w14:paraId="04D659F6" w14:textId="58A8E942" w:rsidR="00DB1DA3" w:rsidRDefault="00DB1DA3" w:rsidP="00657C1D">
      <w:pPr>
        <w:rPr>
          <w:bCs/>
          <w:sz w:val="22"/>
        </w:rPr>
      </w:pPr>
      <w:r w:rsidRPr="00181A57">
        <w:rPr>
          <w:bCs/>
          <w:sz w:val="22"/>
        </w:rPr>
        <w:t>Appendix 1: Eligibility Criteria- Qualifications and/ or experience</w:t>
      </w:r>
    </w:p>
    <w:p w14:paraId="50D45362" w14:textId="6E6998FD" w:rsidR="009407AB" w:rsidRPr="00181A57" w:rsidRDefault="009407AB" w:rsidP="009407AB">
      <w:pPr>
        <w:jc w:val="both"/>
        <w:rPr>
          <w:rFonts w:cs="Arial"/>
          <w:b/>
          <w:bCs/>
          <w:i/>
          <w:iCs/>
          <w:sz w:val="22"/>
        </w:rPr>
      </w:pPr>
      <w:r>
        <w:rPr>
          <w:rFonts w:cs="Arial"/>
          <w:b/>
          <w:bCs/>
          <w:i/>
          <w:iCs/>
          <w:sz w:val="22"/>
          <w:u w:val="single"/>
        </w:rPr>
        <w:t>Eligibility Criteria</w:t>
      </w:r>
      <w:r w:rsidRPr="00181A57">
        <w:rPr>
          <w:rFonts w:cs="Arial"/>
          <w:b/>
          <w:bCs/>
          <w:i/>
          <w:iCs/>
          <w:sz w:val="22"/>
        </w:rPr>
        <w:t xml:space="preserve">: </w:t>
      </w:r>
    </w:p>
    <w:p w14:paraId="7C8FAD11" w14:textId="77777777" w:rsidR="009407AB" w:rsidRPr="00181A57" w:rsidRDefault="009407AB" w:rsidP="009407AB">
      <w:pPr>
        <w:ind w:left="360"/>
        <w:rPr>
          <w:rFonts w:cs="Arial"/>
          <w:b/>
          <w:bCs/>
          <w:iCs/>
          <w:sz w:val="22"/>
        </w:rPr>
      </w:pPr>
      <w:r w:rsidRPr="00181A57">
        <w:rPr>
          <w:rFonts w:cs="Arial"/>
          <w:b/>
          <w:bCs/>
          <w:iCs/>
          <w:sz w:val="22"/>
        </w:rPr>
        <w:t xml:space="preserve">Applicants must demonstrate </w:t>
      </w:r>
      <w:proofErr w:type="gramStart"/>
      <w:r w:rsidRPr="00181A57">
        <w:rPr>
          <w:rFonts w:cs="Arial"/>
          <w:b/>
          <w:bCs/>
          <w:iCs/>
          <w:sz w:val="22"/>
        </w:rPr>
        <w:t>all of</w:t>
      </w:r>
      <w:proofErr w:type="gramEnd"/>
      <w:r w:rsidRPr="00181A57">
        <w:rPr>
          <w:rFonts w:cs="Arial"/>
          <w:b/>
          <w:bCs/>
          <w:iCs/>
          <w:sz w:val="22"/>
        </w:rPr>
        <w:t xml:space="preserve"> the criteria listed below, as relevant to the role</w:t>
      </w:r>
    </w:p>
    <w:p w14:paraId="2EEF568B" w14:textId="77777777" w:rsidR="009407AB" w:rsidRPr="00174B1D" w:rsidRDefault="009407AB" w:rsidP="009407AB">
      <w:pPr>
        <w:numPr>
          <w:ilvl w:val="0"/>
          <w:numId w:val="43"/>
        </w:numPr>
        <w:autoSpaceDE w:val="0"/>
        <w:autoSpaceDN w:val="0"/>
        <w:spacing w:after="0" w:line="240" w:lineRule="auto"/>
        <w:jc w:val="both"/>
        <w:rPr>
          <w:rFonts w:cs="Arial"/>
          <w:iCs/>
          <w:strike/>
          <w:color w:val="000000"/>
          <w:sz w:val="22"/>
          <w:lang w:eastAsia="en-IE"/>
        </w:rPr>
      </w:pPr>
      <w:r w:rsidRPr="00174B1D">
        <w:rPr>
          <w:rFonts w:cs="Arial"/>
          <w:iCs/>
          <w:color w:val="000000"/>
          <w:sz w:val="22"/>
          <w:lang w:eastAsia="en-IE"/>
        </w:rPr>
        <w:t xml:space="preserve">Significant experience at a senior level in leading and managing complex Digital Health or public sector programmes </w:t>
      </w:r>
    </w:p>
    <w:p w14:paraId="2ED7E598" w14:textId="77777777" w:rsidR="009407AB" w:rsidRPr="00174B1D" w:rsidRDefault="009407AB" w:rsidP="009407AB">
      <w:pPr>
        <w:numPr>
          <w:ilvl w:val="0"/>
          <w:numId w:val="43"/>
        </w:numPr>
        <w:spacing w:after="0" w:line="240" w:lineRule="auto"/>
        <w:jc w:val="both"/>
        <w:rPr>
          <w:rFonts w:cs="Arial"/>
          <w:iCs/>
          <w:color w:val="000000"/>
          <w:sz w:val="22"/>
          <w:lang w:eastAsia="en-IE"/>
        </w:rPr>
      </w:pPr>
      <w:r w:rsidRPr="00174B1D">
        <w:rPr>
          <w:rFonts w:cs="Arial"/>
          <w:iCs/>
          <w:color w:val="000000"/>
          <w:sz w:val="22"/>
          <w:lang w:eastAsia="en-IE"/>
        </w:rPr>
        <w:t>Strong Stakeholder Leadership with ability to manage across Clinical, Operational and Technical Domains</w:t>
      </w:r>
    </w:p>
    <w:p w14:paraId="2B8FBC8E" w14:textId="77777777" w:rsidR="009407AB" w:rsidRDefault="009407AB" w:rsidP="009407AB">
      <w:pPr>
        <w:numPr>
          <w:ilvl w:val="0"/>
          <w:numId w:val="43"/>
        </w:numPr>
        <w:autoSpaceDE w:val="0"/>
        <w:autoSpaceDN w:val="0"/>
        <w:spacing w:after="37" w:line="240" w:lineRule="auto"/>
        <w:jc w:val="both"/>
        <w:rPr>
          <w:rFonts w:cs="Arial"/>
          <w:iCs/>
          <w:color w:val="000000"/>
          <w:sz w:val="22"/>
          <w:lang w:eastAsia="en-IE"/>
        </w:rPr>
      </w:pPr>
      <w:r w:rsidRPr="00174B1D">
        <w:rPr>
          <w:rFonts w:cs="Arial"/>
          <w:iCs/>
          <w:color w:val="000000"/>
          <w:sz w:val="22"/>
          <w:lang w:eastAsia="en-IE"/>
        </w:rPr>
        <w:t>Significant experience in programme governance, delivery methodologies and benefits realisation</w:t>
      </w:r>
    </w:p>
    <w:p w14:paraId="4441603D" w14:textId="77777777" w:rsidR="009407AB" w:rsidRPr="00325C7F" w:rsidRDefault="009407AB" w:rsidP="009407AB">
      <w:pPr>
        <w:numPr>
          <w:ilvl w:val="0"/>
          <w:numId w:val="43"/>
        </w:numPr>
        <w:autoSpaceDE w:val="0"/>
        <w:autoSpaceDN w:val="0"/>
        <w:spacing w:after="37" w:line="240" w:lineRule="auto"/>
        <w:jc w:val="both"/>
        <w:rPr>
          <w:rFonts w:cs="Arial"/>
          <w:iCs/>
          <w:color w:val="000000"/>
          <w:sz w:val="22"/>
          <w:lang w:eastAsia="en-IE"/>
        </w:rPr>
      </w:pPr>
      <w:r w:rsidRPr="00325C7F">
        <w:rPr>
          <w:rFonts w:cs="Arial"/>
          <w:iCs/>
          <w:color w:val="000000"/>
          <w:sz w:val="22"/>
          <w:lang w:eastAsia="en-IE"/>
        </w:rPr>
        <w:t>Significant experience of budget planning, financial management and resource management processes</w:t>
      </w:r>
    </w:p>
    <w:p w14:paraId="79DEA092" w14:textId="77777777" w:rsidR="00657C1D" w:rsidRPr="00657C1D" w:rsidRDefault="00657C1D" w:rsidP="00657C1D">
      <w:pPr>
        <w:rPr>
          <w:bCs/>
          <w:sz w:val="22"/>
        </w:rPr>
      </w:pPr>
    </w:p>
    <w:p w14:paraId="2E45F2BB" w14:textId="77777777" w:rsidR="00DB1DA3" w:rsidRPr="00181A57" w:rsidRDefault="00DB1DA3" w:rsidP="00DB1DA3">
      <w:pPr>
        <w:jc w:val="both"/>
        <w:rPr>
          <w:rFonts w:cs="Arial"/>
          <w:b/>
          <w:sz w:val="22"/>
        </w:rPr>
      </w:pPr>
      <w:r w:rsidRPr="00181A57">
        <w:rPr>
          <w:rFonts w:cs="Arial"/>
          <w:b/>
          <w:sz w:val="22"/>
        </w:rPr>
        <w:t>Health</w:t>
      </w:r>
    </w:p>
    <w:p w14:paraId="4C7DCAE5"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0DDA0AA" w14:textId="77777777" w:rsidR="00DB1DA3" w:rsidRPr="00181A57" w:rsidRDefault="00DB1DA3" w:rsidP="00DB1DA3">
      <w:pPr>
        <w:ind w:right="-766"/>
        <w:jc w:val="both"/>
        <w:rPr>
          <w:rFonts w:cs="Arial"/>
          <w:iCs/>
          <w:sz w:val="22"/>
        </w:rPr>
      </w:pPr>
      <w:r w:rsidRPr="00181A57">
        <w:rPr>
          <w:rFonts w:cs="Arial"/>
          <w:b/>
          <w:bCs/>
          <w:sz w:val="22"/>
        </w:rPr>
        <w:t>Character</w:t>
      </w:r>
    </w:p>
    <w:p w14:paraId="21695BB2"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61EF8F82" w14:textId="77777777" w:rsidR="00DB1DA3" w:rsidRPr="00181A57" w:rsidRDefault="00DB1DA3" w:rsidP="00DB1DA3">
      <w:pPr>
        <w:ind w:right="-766"/>
        <w:jc w:val="both"/>
        <w:rPr>
          <w:rFonts w:cs="Arial"/>
          <w:b/>
          <w:sz w:val="22"/>
        </w:rPr>
      </w:pPr>
      <w:r w:rsidRPr="00181A57">
        <w:rPr>
          <w:rFonts w:cs="Arial"/>
          <w:b/>
          <w:sz w:val="22"/>
        </w:rPr>
        <w:t>Age</w:t>
      </w:r>
    </w:p>
    <w:p w14:paraId="3E6151E2"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368F14E8" w14:textId="77777777" w:rsidR="00DB1DA3" w:rsidRPr="00181A57" w:rsidRDefault="00DB1DA3" w:rsidP="00DB1DA3">
      <w:pPr>
        <w:autoSpaceDE w:val="0"/>
        <w:autoSpaceDN w:val="0"/>
        <w:adjustRightInd w:val="0"/>
        <w:rPr>
          <w:rFonts w:cs="Arial"/>
          <w:i/>
          <w:iCs/>
          <w:sz w:val="22"/>
        </w:rPr>
      </w:pPr>
    </w:p>
    <w:p w14:paraId="2A21DEE6"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7070F67E" w14:textId="77777777" w:rsidR="00DB1DA3" w:rsidRPr="00181A57" w:rsidRDefault="00DB1DA3" w:rsidP="00DB1DA3">
      <w:pPr>
        <w:autoSpaceDE w:val="0"/>
        <w:autoSpaceDN w:val="0"/>
        <w:adjustRightInd w:val="0"/>
        <w:rPr>
          <w:rFonts w:cs="Arial"/>
          <w:sz w:val="22"/>
        </w:rPr>
      </w:pPr>
      <w:r w:rsidRPr="00181A57">
        <w:rPr>
          <w:rFonts w:cs="Arial"/>
          <w:sz w:val="22"/>
        </w:rPr>
        <w:t xml:space="preserve">Public servants recruited between 1 April </w:t>
      </w:r>
      <w:proofErr w:type="gramStart"/>
      <w:r w:rsidRPr="00181A57">
        <w:rPr>
          <w:rFonts w:cs="Arial"/>
          <w:sz w:val="22"/>
        </w:rPr>
        <w:t>2004</w:t>
      </w:r>
      <w:proofErr w:type="gramEnd"/>
      <w:r w:rsidRPr="00181A57">
        <w:rPr>
          <w:rFonts w:cs="Arial"/>
          <w:sz w:val="22"/>
        </w:rPr>
        <w:t xml:space="preserve"> and 31 December 2012 (new entrants) have no compulsory retirement age.</w:t>
      </w:r>
    </w:p>
    <w:p w14:paraId="38AD30EA" w14:textId="77777777" w:rsidR="00DB1DA3" w:rsidRPr="00181A57" w:rsidRDefault="00DB1DA3" w:rsidP="00DB1DA3">
      <w:pPr>
        <w:autoSpaceDE w:val="0"/>
        <w:autoSpaceDN w:val="0"/>
        <w:adjustRightInd w:val="0"/>
        <w:rPr>
          <w:rFonts w:cs="Arial"/>
          <w:sz w:val="22"/>
          <w:lang w:val="en-GB" w:eastAsia="en-GB"/>
        </w:rPr>
      </w:pPr>
    </w:p>
    <w:p w14:paraId="673A65A2"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4659F5E2" w14:textId="77777777" w:rsidR="00DB1DA3" w:rsidRPr="00181A57" w:rsidRDefault="00DB1DA3" w:rsidP="00DB1DA3">
      <w:pPr>
        <w:ind w:left="360"/>
        <w:rPr>
          <w:rFonts w:cs="Arial"/>
          <w:b/>
          <w:sz w:val="22"/>
        </w:rPr>
      </w:pPr>
    </w:p>
    <w:p w14:paraId="3A13DD22"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4"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5"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271741C9"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6"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42438D18" w14:textId="77777777" w:rsidR="00DB1DA3" w:rsidRPr="00181A57" w:rsidRDefault="00DB1DA3" w:rsidP="00DB1DA3">
      <w:pPr>
        <w:spacing w:after="120" w:line="360" w:lineRule="auto"/>
        <w:rPr>
          <w:rFonts w:cs="Arial"/>
          <w:sz w:val="22"/>
        </w:rPr>
      </w:pPr>
      <w:r w:rsidRPr="00181A57">
        <w:rPr>
          <w:rFonts w:cs="Arial"/>
          <w:sz w:val="22"/>
        </w:rPr>
        <w:br w:type="page"/>
      </w:r>
    </w:p>
    <w:p w14:paraId="348899BA" w14:textId="77777777" w:rsidR="00431CA1" w:rsidRPr="00181A57" w:rsidRDefault="00431CA1" w:rsidP="00431CA1">
      <w:pPr>
        <w:pStyle w:val="Heading2"/>
      </w:pPr>
      <w:bookmarkStart w:id="22" w:name="_Toc221799139"/>
      <w:bookmarkStart w:id="23" w:name="_Toc188374543"/>
      <w:bookmarkStart w:id="24" w:name="_Toc227064885"/>
      <w:r w:rsidRPr="00181A57">
        <w:lastRenderedPageBreak/>
        <w:t>Appendix 2: EEA, Swiss, British and Non-EEA Applicants</w:t>
      </w:r>
      <w:bookmarkEnd w:id="22"/>
      <w:bookmarkEnd w:id="24"/>
      <w:r w:rsidRPr="00181A57">
        <w:t xml:space="preserve"> </w:t>
      </w:r>
      <w:bookmarkEnd w:id="23"/>
    </w:p>
    <w:p w14:paraId="777E3D66"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4106612C"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2CCABD36"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78C98D7E" w14:textId="77777777" w:rsidR="00431CA1" w:rsidRPr="00181A57" w:rsidRDefault="00431CA1" w:rsidP="00431CA1">
      <w:pPr>
        <w:spacing w:before="240" w:after="120" w:line="240" w:lineRule="auto"/>
        <w:rPr>
          <w:rFonts w:cs="Arial"/>
          <w:sz w:val="22"/>
        </w:rPr>
      </w:pPr>
      <w:r w:rsidRPr="00181A57">
        <w:rPr>
          <w:rFonts w:cs="Arial"/>
          <w:sz w:val="22"/>
        </w:rPr>
        <w:t xml:space="preserve">To process your </w:t>
      </w:r>
      <w:proofErr w:type="gramStart"/>
      <w:r w:rsidRPr="00181A57">
        <w:rPr>
          <w:rFonts w:cs="Arial"/>
          <w:sz w:val="22"/>
        </w:rPr>
        <w:t>application</w:t>
      </w:r>
      <w:proofErr w:type="gramEnd"/>
      <w:r w:rsidRPr="00181A57">
        <w:rPr>
          <w:rFonts w:cs="Arial"/>
          <w:sz w:val="22"/>
        </w:rPr>
        <w:t xml:space="preserve"> it is necessary for you to submit the following documentation:</w:t>
      </w:r>
    </w:p>
    <w:p w14:paraId="6746028C"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03DCA4BB"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42A854AD"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4EC55A45"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0424F8B7" w14:textId="77777777" w:rsidR="00431CA1" w:rsidRPr="00181A57" w:rsidRDefault="00431CA1" w:rsidP="00431CA1">
      <w:pPr>
        <w:pStyle w:val="ListParagraph"/>
        <w:spacing w:before="240" w:after="120" w:line="240" w:lineRule="auto"/>
        <w:jc w:val="center"/>
        <w:rPr>
          <w:rFonts w:cs="Arial"/>
          <w:sz w:val="22"/>
        </w:rPr>
      </w:pPr>
    </w:p>
    <w:p w14:paraId="19662A52"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7F725B36"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61221522"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7391B68E"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3815536E"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252E87E4"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05200302"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38201AA6"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42AB319D"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3C9B2FAC"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2880B8F2"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7" w:anchor="783c0f58d65d5b335" w:history="1">
        <w:r w:rsidRPr="00181A57">
          <w:rPr>
            <w:rStyle w:val="Hyperlink"/>
            <w:rFonts w:cs="Arial"/>
            <w:spacing w:val="3"/>
            <w:sz w:val="22"/>
            <w:shd w:val="clear" w:color="auto" w:fill="FFFFFF"/>
          </w:rPr>
          <w:t>Department of Justice Immigration Permissions</w:t>
        </w:r>
      </w:hyperlink>
    </w:p>
    <w:p w14:paraId="6D43DF1F"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5FD3A5D7" w14:textId="77777777" w:rsidR="00AD732D" w:rsidRPr="00436CA9" w:rsidRDefault="00AD732D" w:rsidP="00436CA9">
      <w:pPr>
        <w:spacing w:after="120" w:line="360" w:lineRule="auto"/>
        <w:rPr>
          <w:rFonts w:cs="Arial"/>
          <w:sz w:val="22"/>
        </w:rPr>
      </w:pPr>
      <w:r w:rsidRPr="00436CA9">
        <w:rPr>
          <w:rFonts w:cs="Arial"/>
          <w:sz w:val="22"/>
        </w:rPr>
        <w:br w:type="page"/>
      </w:r>
    </w:p>
    <w:p w14:paraId="558E136D" w14:textId="77777777" w:rsidR="000A270B" w:rsidRDefault="000A270B" w:rsidP="000A270B">
      <w:pPr>
        <w:pStyle w:val="Heading2"/>
      </w:pPr>
      <w:bookmarkStart w:id="25" w:name="_Appendix_4:_Clearances"/>
      <w:bookmarkStart w:id="26" w:name="_Toc188374544"/>
      <w:bookmarkStart w:id="27" w:name="_Toc221799140"/>
      <w:bookmarkStart w:id="28" w:name="_Toc227064886"/>
      <w:bookmarkEnd w:id="25"/>
      <w:r w:rsidRPr="00181A57">
        <w:lastRenderedPageBreak/>
        <w:t>Appendix 3: Clearances</w:t>
      </w:r>
      <w:bookmarkEnd w:id="26"/>
      <w:bookmarkEnd w:id="27"/>
      <w:bookmarkEnd w:id="28"/>
    </w:p>
    <w:p w14:paraId="468C3322" w14:textId="77777777" w:rsidR="000A270B" w:rsidRPr="000A270B" w:rsidRDefault="000A270B" w:rsidP="000A270B"/>
    <w:p w14:paraId="0B9286D5"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0F4B46F0"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55ED2972"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65BE677" w14:textId="77777777" w:rsidR="006E4A9D" w:rsidRPr="00436CA9" w:rsidRDefault="006E4A9D" w:rsidP="006E4A9D">
      <w:pPr>
        <w:spacing w:after="120" w:line="360" w:lineRule="auto"/>
        <w:rPr>
          <w:rFonts w:cs="Arial"/>
          <w:sz w:val="22"/>
        </w:rPr>
      </w:pPr>
      <w:bookmarkStart w:id="29" w:name="_Appendix:_6_Panel"/>
      <w:bookmarkStart w:id="30" w:name="_Appendix:_4_Interview"/>
      <w:bookmarkEnd w:id="29"/>
      <w:bookmarkEnd w:id="30"/>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0EA513DD"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6DF7B456"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52CE4A24"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4EFF2D81"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14:paraId="2E819351"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3BFD6204"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02A61A42"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394A118C"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698FEAD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131602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6E42590F"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025F8AB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3" w:history="1">
        <w:r w:rsidRPr="0025371A">
          <w:rPr>
            <w:rFonts w:eastAsia="Times New Roman" w:cs="Arial"/>
            <w:color w:val="0000FF"/>
            <w:sz w:val="22"/>
            <w:u w:val="single"/>
            <w:lang w:eastAsia="en-IE"/>
          </w:rPr>
          <w:t>Police Certificates</w:t>
        </w:r>
      </w:hyperlink>
    </w:p>
    <w:p w14:paraId="26584DB1"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24A94B4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DB9DAA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2E0710AA"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6017203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723C1C1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70DD7ED"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9215C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E5120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1F082DD"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2D90B3D"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B90EA6A"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17DDAC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43D9D2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AC23A0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83A176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7A1C9D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4C88EF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D20DE5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FD7B5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7711E4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9A4798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5D78FD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9B68D8A"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4B60BDD3"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1" w:name="_Toc227064887"/>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1"/>
    </w:p>
    <w:p w14:paraId="595F278F"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71E408E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4371DC6"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3E81D0C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15339680"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588B5B5"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8AFCCDF"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1F1533B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B6CD1CA"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873B94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2A98958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3AACBAED"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04DCEEB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2ABFBC47"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18A6ADB0"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0EB2DD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194AE023"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68854D5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1BDE5F7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3D00C161"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71E408E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4371DC6"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3E81D0C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15339680"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588B5B5"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8AFCCDF"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1F1533B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B6CD1CA"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873B94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2A98958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3AACBAED"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04DCEEB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2ABFBC47"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18A6ADB0"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0EB2DD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194AE023"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68854D5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1BDE5F7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3D00C161"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27D85F9" w14:textId="77777777" w:rsidR="00A004BD" w:rsidRPr="00436CA9" w:rsidRDefault="00A004BD" w:rsidP="00436CA9">
      <w:pPr>
        <w:spacing w:after="120" w:line="360" w:lineRule="auto"/>
        <w:rPr>
          <w:rFonts w:cs="Arial"/>
          <w:color w:val="FF0000"/>
          <w:sz w:val="22"/>
        </w:rPr>
      </w:pPr>
    </w:p>
    <w:p w14:paraId="14895FF3" w14:textId="77777777" w:rsidR="008757B5" w:rsidRPr="00436CA9" w:rsidRDefault="008757B5" w:rsidP="00436CA9">
      <w:pPr>
        <w:spacing w:after="120" w:line="360" w:lineRule="auto"/>
        <w:rPr>
          <w:rFonts w:cs="Arial"/>
          <w:sz w:val="22"/>
        </w:rPr>
      </w:pPr>
    </w:p>
    <w:p w14:paraId="7532B37B" w14:textId="77777777" w:rsidR="008757B5" w:rsidRPr="00436CA9" w:rsidRDefault="008757B5" w:rsidP="00436CA9">
      <w:pPr>
        <w:spacing w:after="120" w:line="360" w:lineRule="auto"/>
        <w:rPr>
          <w:rFonts w:cs="Arial"/>
          <w:sz w:val="22"/>
        </w:rPr>
      </w:pPr>
    </w:p>
    <w:p w14:paraId="351C7D74" w14:textId="77777777" w:rsidR="008757B5" w:rsidRPr="00436CA9" w:rsidRDefault="008757B5" w:rsidP="00436CA9">
      <w:pPr>
        <w:spacing w:after="120" w:line="360" w:lineRule="auto"/>
        <w:rPr>
          <w:rFonts w:cs="Arial"/>
          <w:sz w:val="22"/>
        </w:rPr>
      </w:pPr>
    </w:p>
    <w:p w14:paraId="2105AA14" w14:textId="77777777" w:rsidR="008757B5" w:rsidRPr="00436CA9" w:rsidRDefault="008757B5" w:rsidP="00436CA9">
      <w:pPr>
        <w:spacing w:after="120" w:line="360" w:lineRule="auto"/>
        <w:rPr>
          <w:rFonts w:cs="Arial"/>
          <w:sz w:val="22"/>
        </w:rPr>
      </w:pPr>
    </w:p>
    <w:p w14:paraId="715A7A0F" w14:textId="77777777" w:rsidR="008757B5" w:rsidRPr="00436CA9" w:rsidRDefault="008757B5" w:rsidP="00436CA9">
      <w:pPr>
        <w:spacing w:after="120" w:line="360" w:lineRule="auto"/>
        <w:rPr>
          <w:rFonts w:cs="Arial"/>
          <w:sz w:val="22"/>
        </w:rPr>
      </w:pPr>
    </w:p>
    <w:p w14:paraId="37098584" w14:textId="77777777" w:rsidR="008757B5" w:rsidRPr="00436CA9" w:rsidRDefault="008757B5" w:rsidP="00436CA9">
      <w:pPr>
        <w:spacing w:after="120" w:line="360" w:lineRule="auto"/>
        <w:rPr>
          <w:rFonts w:cs="Arial"/>
          <w:sz w:val="22"/>
        </w:rPr>
      </w:pPr>
    </w:p>
    <w:p w14:paraId="0353DA5F" w14:textId="77777777" w:rsidR="008757B5" w:rsidRPr="00436CA9" w:rsidRDefault="008757B5" w:rsidP="00436CA9">
      <w:pPr>
        <w:spacing w:after="120" w:line="360" w:lineRule="auto"/>
        <w:rPr>
          <w:rFonts w:cs="Arial"/>
          <w:sz w:val="22"/>
        </w:rPr>
      </w:pPr>
    </w:p>
    <w:p w14:paraId="42ED1194" w14:textId="77777777" w:rsidR="008757B5" w:rsidRPr="00436CA9" w:rsidRDefault="008757B5" w:rsidP="00436CA9">
      <w:pPr>
        <w:spacing w:after="120" w:line="360" w:lineRule="auto"/>
        <w:rPr>
          <w:rFonts w:cs="Arial"/>
          <w:sz w:val="22"/>
        </w:rPr>
      </w:pPr>
    </w:p>
    <w:p w14:paraId="1BC834E9" w14:textId="77777777" w:rsidR="008757B5" w:rsidRPr="00436CA9" w:rsidRDefault="008757B5" w:rsidP="00436CA9">
      <w:pPr>
        <w:spacing w:after="120" w:line="360" w:lineRule="auto"/>
        <w:rPr>
          <w:rFonts w:cs="Arial"/>
          <w:sz w:val="22"/>
        </w:rPr>
      </w:pPr>
    </w:p>
    <w:p w14:paraId="6AA28677" w14:textId="77777777" w:rsidR="008757B5" w:rsidRPr="00436CA9" w:rsidRDefault="008757B5" w:rsidP="00436CA9">
      <w:pPr>
        <w:spacing w:after="120" w:line="360" w:lineRule="auto"/>
        <w:rPr>
          <w:rFonts w:cs="Arial"/>
          <w:sz w:val="22"/>
        </w:rPr>
      </w:pPr>
    </w:p>
    <w:p w14:paraId="780D696E" w14:textId="77777777" w:rsidR="008757B5" w:rsidRPr="00436CA9" w:rsidRDefault="008757B5" w:rsidP="00436CA9">
      <w:pPr>
        <w:spacing w:after="120" w:line="360" w:lineRule="auto"/>
        <w:rPr>
          <w:rFonts w:cs="Arial"/>
          <w:sz w:val="22"/>
        </w:rPr>
      </w:pPr>
    </w:p>
    <w:p w14:paraId="359297E0" w14:textId="77777777" w:rsidR="008757B5" w:rsidRPr="00436CA9" w:rsidRDefault="008757B5" w:rsidP="00436CA9">
      <w:pPr>
        <w:spacing w:after="120" w:line="360" w:lineRule="auto"/>
        <w:rPr>
          <w:rFonts w:cs="Arial"/>
          <w:sz w:val="22"/>
        </w:rPr>
      </w:pPr>
    </w:p>
    <w:p w14:paraId="53D92A0A" w14:textId="77777777" w:rsidR="008757B5" w:rsidRPr="00436CA9" w:rsidRDefault="008757B5" w:rsidP="00436CA9">
      <w:pPr>
        <w:spacing w:after="120" w:line="360" w:lineRule="auto"/>
        <w:rPr>
          <w:rFonts w:cs="Arial"/>
          <w:sz w:val="22"/>
        </w:rPr>
      </w:pPr>
    </w:p>
    <w:p w14:paraId="4D2EAE47" w14:textId="77777777" w:rsidR="008757B5" w:rsidRPr="00436CA9" w:rsidRDefault="008757B5" w:rsidP="00436CA9">
      <w:pPr>
        <w:spacing w:after="120" w:line="360" w:lineRule="auto"/>
        <w:rPr>
          <w:rFonts w:cs="Arial"/>
          <w:sz w:val="22"/>
        </w:rPr>
      </w:pPr>
    </w:p>
    <w:p w14:paraId="12E0C22C" w14:textId="77777777" w:rsidR="008757B5" w:rsidRPr="00436CA9" w:rsidRDefault="008757B5" w:rsidP="00436CA9">
      <w:pPr>
        <w:spacing w:after="120" w:line="360" w:lineRule="auto"/>
        <w:rPr>
          <w:rFonts w:cs="Arial"/>
          <w:sz w:val="22"/>
        </w:rPr>
      </w:pPr>
    </w:p>
    <w:p w14:paraId="5385C66F" w14:textId="77777777" w:rsidR="008757B5" w:rsidRPr="00436CA9" w:rsidRDefault="008757B5" w:rsidP="00436CA9">
      <w:pPr>
        <w:spacing w:after="120" w:line="360" w:lineRule="auto"/>
        <w:rPr>
          <w:rFonts w:cs="Arial"/>
          <w:sz w:val="22"/>
        </w:rPr>
      </w:pPr>
    </w:p>
    <w:p w14:paraId="4E1A6FDB" w14:textId="77777777" w:rsidR="008757B5" w:rsidRPr="00436CA9" w:rsidRDefault="008757B5" w:rsidP="00436CA9">
      <w:pPr>
        <w:spacing w:after="120" w:line="360" w:lineRule="auto"/>
        <w:rPr>
          <w:rFonts w:cs="Arial"/>
          <w:sz w:val="22"/>
        </w:rPr>
      </w:pPr>
    </w:p>
    <w:p w14:paraId="67421519" w14:textId="77777777" w:rsidR="008757B5" w:rsidRPr="00436CA9" w:rsidRDefault="008757B5" w:rsidP="00436CA9">
      <w:pPr>
        <w:spacing w:after="120" w:line="360" w:lineRule="auto"/>
        <w:rPr>
          <w:rFonts w:cs="Arial"/>
          <w:sz w:val="22"/>
        </w:rPr>
      </w:pPr>
    </w:p>
    <w:p w14:paraId="6D30598A" w14:textId="77777777" w:rsidR="008757B5" w:rsidRPr="00436CA9" w:rsidRDefault="008757B5" w:rsidP="00436CA9">
      <w:pPr>
        <w:spacing w:after="120" w:line="360" w:lineRule="auto"/>
        <w:rPr>
          <w:rFonts w:cs="Arial"/>
          <w:sz w:val="22"/>
        </w:rPr>
      </w:pPr>
    </w:p>
    <w:p w14:paraId="72E7EDD4" w14:textId="77777777" w:rsidR="008757B5" w:rsidRPr="00436CA9" w:rsidRDefault="008757B5" w:rsidP="00436CA9">
      <w:pPr>
        <w:spacing w:after="120" w:line="360" w:lineRule="auto"/>
        <w:rPr>
          <w:rFonts w:cs="Arial"/>
          <w:sz w:val="22"/>
        </w:rPr>
      </w:pPr>
    </w:p>
    <w:p w14:paraId="469BD108" w14:textId="77777777" w:rsidR="008757B5" w:rsidRPr="00436CA9" w:rsidRDefault="008757B5" w:rsidP="00436CA9">
      <w:pPr>
        <w:spacing w:after="120" w:line="360" w:lineRule="auto"/>
        <w:rPr>
          <w:rFonts w:cs="Arial"/>
          <w:sz w:val="22"/>
        </w:rPr>
      </w:pPr>
    </w:p>
    <w:p w14:paraId="62AEF2DA" w14:textId="77777777" w:rsidR="008757B5" w:rsidRPr="00436CA9" w:rsidRDefault="008757B5" w:rsidP="00436CA9">
      <w:pPr>
        <w:spacing w:after="120" w:line="360" w:lineRule="auto"/>
        <w:rPr>
          <w:rFonts w:cs="Arial"/>
          <w:sz w:val="22"/>
        </w:rPr>
      </w:pPr>
    </w:p>
    <w:p w14:paraId="6CA771F4" w14:textId="77777777" w:rsidR="008757B5" w:rsidRPr="00436CA9" w:rsidRDefault="008757B5" w:rsidP="00436CA9">
      <w:pPr>
        <w:spacing w:after="120" w:line="360" w:lineRule="auto"/>
        <w:rPr>
          <w:rFonts w:cs="Arial"/>
          <w:sz w:val="22"/>
        </w:rPr>
      </w:pPr>
    </w:p>
    <w:p w14:paraId="6ECB98E5" w14:textId="77777777" w:rsidR="008757B5" w:rsidRPr="00436CA9" w:rsidRDefault="008757B5" w:rsidP="00436CA9">
      <w:pPr>
        <w:spacing w:after="120" w:line="360" w:lineRule="auto"/>
        <w:rPr>
          <w:rFonts w:cs="Arial"/>
          <w:sz w:val="22"/>
        </w:rPr>
      </w:pPr>
    </w:p>
    <w:p w14:paraId="13B581C1" w14:textId="77777777" w:rsidR="0037373C" w:rsidRPr="00436CA9" w:rsidRDefault="0037373C" w:rsidP="00436CA9">
      <w:pPr>
        <w:spacing w:after="120" w:line="360" w:lineRule="auto"/>
        <w:rPr>
          <w:rFonts w:cs="Arial"/>
          <w:sz w:val="22"/>
        </w:rPr>
      </w:pPr>
      <w:r w:rsidRPr="00436CA9">
        <w:rPr>
          <w:rFonts w:cs="Arial"/>
          <w:sz w:val="22"/>
        </w:rPr>
        <w:br w:type="page"/>
      </w:r>
    </w:p>
    <w:p w14:paraId="611CAD32" w14:textId="77777777" w:rsidR="00EC4CC9" w:rsidRPr="00436CA9" w:rsidRDefault="00D62604" w:rsidP="00436CA9">
      <w:pPr>
        <w:spacing w:after="120" w:line="360" w:lineRule="auto"/>
        <w:textAlignment w:val="center"/>
        <w:rPr>
          <w:rFonts w:cs="Arial"/>
          <w:sz w:val="22"/>
        </w:rPr>
      </w:pPr>
      <w:r>
        <w:rPr>
          <w:rFonts w:cs="Arial"/>
          <w:bCs/>
          <w:color w:val="000099"/>
          <w:kern w:val="32"/>
          <w:sz w:val="22"/>
        </w:rPr>
        <w:lastRenderedPageBreak/>
        <w:t>Read</w:t>
      </w:r>
      <w:r w:rsidR="0067555F" w:rsidRPr="00436CA9">
        <w:rPr>
          <w:rFonts w:cs="Arial"/>
          <w:bCs/>
          <w:color w:val="000099"/>
          <w:kern w:val="32"/>
          <w:sz w:val="22"/>
        </w:rPr>
        <w:t xml:space="preserve"> f</w:t>
      </w:r>
      <w:r w:rsidR="00EC4CC9" w:rsidRPr="00436CA9">
        <w:rPr>
          <w:rFonts w:cs="Arial"/>
          <w:bCs/>
          <w:color w:val="000099"/>
          <w:kern w:val="32"/>
          <w:sz w:val="22"/>
        </w:rPr>
        <w:t xml:space="preserve">urther information on </w:t>
      </w:r>
      <w:hyperlink r:id="rId34" w:history="1">
        <w:r w:rsidRPr="00EE4337">
          <w:rPr>
            <w:rStyle w:val="Hyperlink"/>
            <w:rFonts w:cs="Arial"/>
            <w:bCs/>
            <w:kern w:val="32"/>
            <w:sz w:val="22"/>
          </w:rPr>
          <w:t>panel management</w:t>
        </w:r>
      </w:hyperlink>
    </w:p>
    <w:p w14:paraId="242D47C9"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2" w:name="_Appendix:_5_Panel"/>
      <w:bookmarkStart w:id="33" w:name="_Toc227064888"/>
      <w:bookmarkEnd w:id="32"/>
      <w:r w:rsidRPr="00E34985">
        <w:rPr>
          <w:rFonts w:eastAsia="Times New Roman"/>
          <w:b w:val="0"/>
          <w:color w:val="000000" w:themeColor="text1"/>
          <w:sz w:val="22"/>
          <w:szCs w:val="22"/>
          <w:lang w:val="en-GB" w:eastAsia="zh-CN"/>
        </w:rPr>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3"/>
    </w:p>
    <w:p w14:paraId="78279DB8"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22DA826C"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33CA3656"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6F93578F"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292EC62"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59832093"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1685915B"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1D261465"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58E9335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6389D8"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56ABD2E6"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8C69A9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proofErr w:type="gramStart"/>
      <w:r w:rsidR="00D62604" w:rsidRPr="00436CA9">
        <w:rPr>
          <w:rFonts w:cs="Arial"/>
          <w:color w:val="000000" w:themeColor="text1"/>
          <w:sz w:val="22"/>
        </w:rPr>
        <w:t xml:space="preserve">interested, </w:t>
      </w:r>
      <w:r w:rsidRPr="00436CA9">
        <w:rPr>
          <w:rFonts w:cs="Arial"/>
          <w:color w:val="000000" w:themeColor="text1"/>
          <w:sz w:val="22"/>
        </w:rPr>
        <w:t>and</w:t>
      </w:r>
      <w:proofErr w:type="gramEnd"/>
      <w:r w:rsidRPr="00436CA9">
        <w:rPr>
          <w:rFonts w:cs="Arial"/>
          <w:color w:val="000000" w:themeColor="text1"/>
          <w:sz w:val="22"/>
        </w:rPr>
        <w:t xml:space="preserve">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1624A4CA"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6D29361"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276CBA5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1358E19"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4E991D8A"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630F0368"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5202A989"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4B2ED72B"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5F0163C3"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535D1332"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4B63976"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4DC7249B"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6BD425BF"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44B90F9D"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0A98E45D"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267D6D99"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w:t>
      </w:r>
      <w:proofErr w:type="gramStart"/>
      <w:r w:rsidR="00386EE0" w:rsidRPr="00436CA9">
        <w:rPr>
          <w:rFonts w:cs="Arial"/>
          <w:sz w:val="22"/>
        </w:rPr>
        <w:t xml:space="preserve">at this </w:t>
      </w:r>
      <w:r w:rsidR="00A06C0A" w:rsidRPr="00436CA9">
        <w:rPr>
          <w:rFonts w:cs="Arial"/>
          <w:sz w:val="22"/>
        </w:rPr>
        <w:t>time</w:t>
      </w:r>
      <w:proofErr w:type="gramEnd"/>
      <w:r w:rsidR="00A06C0A" w:rsidRPr="00436CA9">
        <w:rPr>
          <w:rFonts w:cs="Arial"/>
          <w:sz w:val="22"/>
        </w:rPr>
        <w:t>.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34E247B2"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67E54B95"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62917DC0"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5"/>
      <w:headerReference w:type="first" r:id="rId36"/>
      <w:footerReference w:type="first" r:id="rId37"/>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4CB0" w14:textId="77777777" w:rsidR="00C259CA" w:rsidRDefault="00C259CA" w:rsidP="0037769B">
      <w:pPr>
        <w:spacing w:after="0" w:line="240" w:lineRule="auto"/>
      </w:pPr>
      <w:r>
        <w:separator/>
      </w:r>
    </w:p>
  </w:endnote>
  <w:endnote w:type="continuationSeparator" w:id="0">
    <w:p w14:paraId="075CCDF7" w14:textId="77777777" w:rsidR="00C259CA" w:rsidRDefault="00C259CA"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15665A35"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29F645F"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63887785" w14:textId="5A15BE81"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037957">
          <w:rPr>
            <w:rFonts w:ascii="Arial" w:hAnsi="Arial" w:cs="Arial"/>
            <w:noProof/>
            <w:sz w:val="20"/>
          </w:rPr>
          <w:t>14/04/2026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DE8E" w14:textId="77777777" w:rsidR="00C259CA" w:rsidRDefault="00C259CA" w:rsidP="0037769B">
      <w:pPr>
        <w:spacing w:after="0" w:line="240" w:lineRule="auto"/>
      </w:pPr>
      <w:r>
        <w:separator/>
      </w:r>
    </w:p>
  </w:footnote>
  <w:footnote w:type="continuationSeparator" w:id="0">
    <w:p w14:paraId="7915E47D" w14:textId="77777777" w:rsidR="00C259CA" w:rsidRDefault="00C259CA"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FCCC"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63D4A2C"/>
    <w:multiLevelType w:val="multilevel"/>
    <w:tmpl w:val="5E7E88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4545319">
    <w:abstractNumId w:val="3"/>
  </w:num>
  <w:num w:numId="2" w16cid:durableId="438531344">
    <w:abstractNumId w:val="17"/>
  </w:num>
  <w:num w:numId="3" w16cid:durableId="1879901300">
    <w:abstractNumId w:val="34"/>
  </w:num>
  <w:num w:numId="4" w16cid:durableId="1526947213">
    <w:abstractNumId w:val="27"/>
  </w:num>
  <w:num w:numId="5" w16cid:durableId="1630014988">
    <w:abstractNumId w:val="5"/>
  </w:num>
  <w:num w:numId="6" w16cid:durableId="1201480419">
    <w:abstractNumId w:val="8"/>
  </w:num>
  <w:num w:numId="7" w16cid:durableId="406458662">
    <w:abstractNumId w:val="32"/>
  </w:num>
  <w:num w:numId="8" w16cid:durableId="212351231">
    <w:abstractNumId w:val="22"/>
  </w:num>
  <w:num w:numId="9" w16cid:durableId="1188645008">
    <w:abstractNumId w:val="10"/>
  </w:num>
  <w:num w:numId="10" w16cid:durableId="1120731632">
    <w:abstractNumId w:val="0"/>
  </w:num>
  <w:num w:numId="11" w16cid:durableId="583030754">
    <w:abstractNumId w:val="13"/>
  </w:num>
  <w:num w:numId="12" w16cid:durableId="957489527">
    <w:abstractNumId w:val="24"/>
  </w:num>
  <w:num w:numId="13" w16cid:durableId="2027780279">
    <w:abstractNumId w:val="14"/>
  </w:num>
  <w:num w:numId="14" w16cid:durableId="556093294">
    <w:abstractNumId w:val="16"/>
  </w:num>
  <w:num w:numId="15" w16cid:durableId="860624440">
    <w:abstractNumId w:val="33"/>
  </w:num>
  <w:num w:numId="16" w16cid:durableId="951014744">
    <w:abstractNumId w:val="29"/>
  </w:num>
  <w:num w:numId="17" w16cid:durableId="1553930839">
    <w:abstractNumId w:val="40"/>
  </w:num>
  <w:num w:numId="18" w16cid:durableId="800615336">
    <w:abstractNumId w:val="7"/>
  </w:num>
  <w:num w:numId="19" w16cid:durableId="1901668454">
    <w:abstractNumId w:val="21"/>
  </w:num>
  <w:num w:numId="20" w16cid:durableId="26881833">
    <w:abstractNumId w:val="23"/>
  </w:num>
  <w:num w:numId="21" w16cid:durableId="1528104694">
    <w:abstractNumId w:val="30"/>
  </w:num>
  <w:num w:numId="22" w16cid:durableId="820461648">
    <w:abstractNumId w:val="11"/>
  </w:num>
  <w:num w:numId="23" w16cid:durableId="632520404">
    <w:abstractNumId w:val="4"/>
  </w:num>
  <w:num w:numId="24" w16cid:durableId="211620008">
    <w:abstractNumId w:val="12"/>
  </w:num>
  <w:num w:numId="25" w16cid:durableId="1889536125">
    <w:abstractNumId w:val="31"/>
  </w:num>
  <w:num w:numId="26" w16cid:durableId="12705472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7144841">
    <w:abstractNumId w:val="25"/>
  </w:num>
  <w:num w:numId="28" w16cid:durableId="1781217437">
    <w:abstractNumId w:val="28"/>
  </w:num>
  <w:num w:numId="29" w16cid:durableId="11294716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9271664">
    <w:abstractNumId w:val="25"/>
  </w:num>
  <w:num w:numId="31" w16cid:durableId="1687519003">
    <w:abstractNumId w:val="9"/>
  </w:num>
  <w:num w:numId="32" w16cid:durableId="1044252932">
    <w:abstractNumId w:val="37"/>
  </w:num>
  <w:num w:numId="33" w16cid:durableId="2105572499">
    <w:abstractNumId w:val="20"/>
  </w:num>
  <w:num w:numId="34" w16cid:durableId="938954739">
    <w:abstractNumId w:val="6"/>
  </w:num>
  <w:num w:numId="35" w16cid:durableId="801507520">
    <w:abstractNumId w:val="36"/>
  </w:num>
  <w:num w:numId="36" w16cid:durableId="1202862615">
    <w:abstractNumId w:val="26"/>
  </w:num>
  <w:num w:numId="37" w16cid:durableId="1129477633">
    <w:abstractNumId w:val="2"/>
  </w:num>
  <w:num w:numId="38" w16cid:durableId="1408727809">
    <w:abstractNumId w:val="15"/>
  </w:num>
  <w:num w:numId="39" w16cid:durableId="1088774090">
    <w:abstractNumId w:val="18"/>
  </w:num>
  <w:num w:numId="40" w16cid:durableId="1298417768">
    <w:abstractNumId w:val="1"/>
  </w:num>
  <w:num w:numId="41" w16cid:durableId="8421619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3239680">
    <w:abstractNumId w:val="39"/>
  </w:num>
  <w:num w:numId="43" w16cid:durableId="20628964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C1D"/>
    <w:rsid w:val="00005C09"/>
    <w:rsid w:val="000150DB"/>
    <w:rsid w:val="000166C0"/>
    <w:rsid w:val="00025A2A"/>
    <w:rsid w:val="00037957"/>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50"/>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57C1D"/>
    <w:rsid w:val="0066378A"/>
    <w:rsid w:val="00664EFE"/>
    <w:rsid w:val="00672BEA"/>
    <w:rsid w:val="0067555F"/>
    <w:rsid w:val="00675E6A"/>
    <w:rsid w:val="0069127F"/>
    <w:rsid w:val="00691308"/>
    <w:rsid w:val="006A264A"/>
    <w:rsid w:val="006A64FF"/>
    <w:rsid w:val="006C06AE"/>
    <w:rsid w:val="006D179E"/>
    <w:rsid w:val="006E4A9D"/>
    <w:rsid w:val="006E50E4"/>
    <w:rsid w:val="006F643E"/>
    <w:rsid w:val="00700F05"/>
    <w:rsid w:val="00712DEC"/>
    <w:rsid w:val="00720474"/>
    <w:rsid w:val="00722477"/>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407AB"/>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259CA"/>
    <w:rsid w:val="00C32625"/>
    <w:rsid w:val="00C40BDF"/>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B10A3D9"/>
  <w15:docId w15:val="{892F0053-3174-435B-83F7-2DEA0515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forms.qqi.ie/naric/award-queries" TargetMode="External"/><Relationship Id="rId39" Type="http://schemas.openxmlformats.org/officeDocument/2006/relationships/theme" Target="theme/theme1.xml"/><Relationship Id="rId21" Type="http://schemas.openxmlformats.org/officeDocument/2006/relationships/hyperlink" Target="mailto:recruitment.technologyandtransformation@hse.ie" TargetMode="External"/><Relationship Id="rId34" Type="http://schemas.openxmlformats.org/officeDocument/2006/relationships/hyperlink" Target="https://www.hse.ie/eng/staff/resources/recruitment-standards/before-you-recruit/panels-and-panel-management.html" TargetMode="Externa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acro.police.uk/s/acro-services/police-certificat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hse.ie/eng/staff/jobs/recruitment-process/hse-privacy-notice-candidates-in-process-with-national-recruitment-services-nrs.pdf" TargetMode="External"/><Relationship Id="rId28" Type="http://schemas.openxmlformats.org/officeDocument/2006/relationships/hyperlink" Target="https://www.afp.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mailto:appeals@technologyandtransformation@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4.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5811</Words>
  <Characters>33127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Byrne</dc:creator>
  <cp:keywords/>
  <dc:description/>
  <cp:lastModifiedBy>Erica Byrne</cp:lastModifiedBy>
  <cp:revision>4</cp:revision>
  <cp:lastPrinted>2023-06-29T15:04:00Z</cp:lastPrinted>
  <dcterms:created xsi:type="dcterms:W3CDTF">2026-04-14T09:54:00Z</dcterms:created>
  <dcterms:modified xsi:type="dcterms:W3CDTF">2026-04-14T12:14:00Z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