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93D37" w14:textId="4318C407" w:rsidR="00A91C21" w:rsidRDefault="00747164" w:rsidP="001142BB">
      <w:pPr>
        <w:pStyle w:val="Title"/>
        <w:jc w:val="center"/>
        <w:rPr>
          <w:rFonts w:ascii="Arial" w:eastAsia="Times New Roman" w:hAnsi="Arial" w:cs="Arial"/>
          <w:sz w:val="22"/>
          <w:szCs w:val="22"/>
          <w:lang w:val="en-GB" w:eastAsia="zh-CN"/>
        </w:rPr>
      </w:pPr>
      <w:r w:rsidRPr="00077053">
        <w:rPr>
          <w:noProof/>
          <w:lang w:eastAsia="en-IE"/>
        </w:rPr>
        <mc:AlternateContent>
          <mc:Choice Requires="wps">
            <w:drawing>
              <wp:anchor distT="0" distB="0" distL="114300" distR="114300" simplePos="0" relativeHeight="251657728" behindDoc="0" locked="0" layoutInCell="1" allowOverlap="1" wp14:anchorId="7B319277" wp14:editId="479B70A7">
                <wp:simplePos x="0" y="0"/>
                <wp:positionH relativeFrom="page">
                  <wp:posOffset>2847975</wp:posOffset>
                </wp:positionH>
                <wp:positionV relativeFrom="topMargin">
                  <wp:posOffset>161925</wp:posOffset>
                </wp:positionV>
                <wp:extent cx="1530350" cy="8667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319277" id="_x0000_t202" coordsize="21600,21600" o:spt="202" path="m,l,21600r21600,l21600,xe">
                <v:stroke joinstyle="miter"/>
                <v:path gradientshapeok="t" o:connecttype="rect"/>
              </v:shapetype>
              <v:shape id="Text Box 2067323446" o:spid="_x0000_s1026" type="#_x0000_t202" style="position:absolute;left:0;text-align:left;margin-left:224.25pt;margin-top:12.75pt;width:120.5pt;height:6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Pr="00077053">
        <w:rPr>
          <w:noProof/>
          <w:lang w:eastAsia="en-IE"/>
        </w:rPr>
        <mc:AlternateContent>
          <mc:Choice Requires="wps">
            <w:drawing>
              <wp:anchor distT="0" distB="0" distL="114300" distR="114300" simplePos="0" relativeHeight="251658752" behindDoc="0" locked="0" layoutInCell="1" allowOverlap="1" wp14:anchorId="40A11C70" wp14:editId="02412D93">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A11C70" id="Text Box 1076815934" o:spid="_x0000_s1027"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08780F41" w:rsidR="00050E29" w:rsidRPr="00AC55C8" w:rsidRDefault="00050E29"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rFonts w:eastAsia="Times New Roman" w:cs="Arial"/>
          <w:b/>
          <w:color w:val="006152"/>
          <w:sz w:val="28"/>
          <w:szCs w:val="28"/>
          <w:lang w:val="en-GB" w:eastAsia="zh-CN"/>
        </w:rPr>
        <w:t xml:space="preserve"> Additional Campaign Information: </w:t>
      </w:r>
    </w:p>
    <w:p w14:paraId="01997EE5" w14:textId="07D00C91" w:rsidR="00050E29" w:rsidRPr="00B746D9" w:rsidRDefault="00050E29"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AD732D">
        <w:rPr>
          <w:rFonts w:eastAsia="Times New Roman" w:cs="Arial"/>
          <w:b/>
          <w:iCs/>
          <w:sz w:val="24"/>
          <w:szCs w:val="24"/>
          <w:lang w:eastAsia="en-IE"/>
        </w:rPr>
        <w:t>Recruitment reference no</w:t>
      </w:r>
      <w:r w:rsidRPr="00BB6EE1">
        <w:rPr>
          <w:rFonts w:eastAsia="Times New Roman" w:cs="Arial"/>
          <w:b/>
          <w:iCs/>
          <w:sz w:val="24"/>
          <w:szCs w:val="24"/>
          <w:lang w:eastAsia="en-IE"/>
        </w:rPr>
        <w:t xml:space="preserve">: </w:t>
      </w:r>
      <w:r w:rsidR="00BB6EE1">
        <w:rPr>
          <w:rFonts w:eastAsia="Times New Roman" w:cs="Arial"/>
          <w:b/>
          <w:iCs/>
          <w:sz w:val="24"/>
          <w:szCs w:val="24"/>
          <w:lang w:eastAsia="en-IE"/>
        </w:rPr>
        <w:t xml:space="preserve">T&amp;T/29/26 </w:t>
      </w:r>
      <w:r w:rsidR="00F03CE9" w:rsidRPr="00BB6EE1">
        <w:rPr>
          <w:rFonts w:eastAsia="Times New Roman" w:cs="Arial"/>
          <w:b/>
          <w:iCs/>
          <w:sz w:val="24"/>
          <w:szCs w:val="24"/>
          <w:lang w:eastAsia="en-IE"/>
        </w:rPr>
        <w:t>Head of Networks</w:t>
      </w:r>
      <w:r w:rsidR="00BB6EE1">
        <w:rPr>
          <w:rFonts w:eastAsia="Times New Roman" w:cs="Arial"/>
          <w:b/>
          <w:iCs/>
          <w:sz w:val="24"/>
          <w:szCs w:val="24"/>
          <w:lang w:eastAsia="en-IE"/>
        </w:rPr>
        <w:t xml:space="preserve"> (General Manager)</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2676280"/>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6311A2EA"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BB6EE1">
        <w:rPr>
          <w:rFonts w:ascii="Arial" w:eastAsia="Times New Roman" w:hAnsi="Arial" w:cs="Arial"/>
          <w:sz w:val="22"/>
          <w:szCs w:val="22"/>
        </w:rPr>
        <w:t>contact</w:t>
      </w:r>
      <w:r w:rsidR="00F03CE9" w:rsidRPr="00BB6EE1">
        <w:rPr>
          <w:rFonts w:ascii="Arial" w:eastAsia="Times New Roman" w:hAnsi="Arial" w:cs="Arial"/>
          <w:sz w:val="22"/>
          <w:szCs w:val="22"/>
        </w:rPr>
        <w:t>: MaryRose McIntyre</w:t>
      </w:r>
      <w:r w:rsidRPr="00BB6EE1">
        <w:rPr>
          <w:rFonts w:ascii="Arial" w:eastAsia="Times New Roman" w:hAnsi="Arial" w:cs="Arial"/>
          <w:sz w:val="22"/>
          <w:szCs w:val="22"/>
        </w:rPr>
        <w:t xml:space="preserve">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33B2B3F1" w14:textId="291B84B5" w:rsidR="00F03CE9"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32676280" w:history="1">
            <w:r w:rsidR="00F03CE9" w:rsidRPr="00DD2C4F">
              <w:rPr>
                <w:rStyle w:val="Hyperlink"/>
                <w:rFonts w:eastAsia="Times New Roman" w:cs="Arial"/>
                <w:noProof/>
                <w:lang w:val="en-GB" w:eastAsia="zh-CN"/>
              </w:rPr>
              <w:t>The HR / Recruitment Team Contact details:</w:t>
            </w:r>
            <w:r w:rsidR="00F03CE9">
              <w:rPr>
                <w:noProof/>
                <w:webHidden/>
              </w:rPr>
              <w:tab/>
            </w:r>
            <w:r w:rsidR="00F03CE9">
              <w:rPr>
                <w:noProof/>
                <w:webHidden/>
              </w:rPr>
              <w:fldChar w:fldCharType="begin"/>
            </w:r>
            <w:r w:rsidR="00F03CE9">
              <w:rPr>
                <w:noProof/>
                <w:webHidden/>
              </w:rPr>
              <w:instrText xml:space="preserve"> PAGEREF _Toc232676280 \h </w:instrText>
            </w:r>
            <w:r w:rsidR="00F03CE9">
              <w:rPr>
                <w:noProof/>
                <w:webHidden/>
              </w:rPr>
            </w:r>
            <w:r w:rsidR="00F03CE9">
              <w:rPr>
                <w:noProof/>
                <w:webHidden/>
              </w:rPr>
              <w:fldChar w:fldCharType="separate"/>
            </w:r>
            <w:r w:rsidR="00F03CE9">
              <w:rPr>
                <w:noProof/>
                <w:webHidden/>
              </w:rPr>
              <w:t>1</w:t>
            </w:r>
            <w:r w:rsidR="00F03CE9">
              <w:rPr>
                <w:noProof/>
                <w:webHidden/>
              </w:rPr>
              <w:fldChar w:fldCharType="end"/>
            </w:r>
          </w:hyperlink>
        </w:p>
        <w:p w14:paraId="69ADEDE7" w14:textId="4A8209A1" w:rsidR="00F03CE9" w:rsidRDefault="00BB6EE1">
          <w:pPr>
            <w:pStyle w:val="TOC1"/>
            <w:rPr>
              <w:rFonts w:asciiTheme="minorHAnsi" w:eastAsiaTheme="minorEastAsia" w:hAnsiTheme="minorHAnsi"/>
              <w:noProof/>
              <w:lang w:eastAsia="en-IE"/>
            </w:rPr>
          </w:pPr>
          <w:hyperlink w:anchor="_Toc232676281" w:history="1">
            <w:r w:rsidR="00F03CE9" w:rsidRPr="00DD2C4F">
              <w:rPr>
                <w:rStyle w:val="Hyperlink"/>
                <w:rFonts w:eastAsia="Times New Roman" w:cs="Arial"/>
                <w:noProof/>
                <w:lang w:val="en-GB" w:eastAsia="zh-CN"/>
              </w:rPr>
              <w:t>Who should apply?</w:t>
            </w:r>
            <w:r w:rsidR="00F03CE9">
              <w:rPr>
                <w:noProof/>
                <w:webHidden/>
              </w:rPr>
              <w:tab/>
            </w:r>
            <w:r w:rsidR="00F03CE9">
              <w:rPr>
                <w:noProof/>
                <w:webHidden/>
              </w:rPr>
              <w:fldChar w:fldCharType="begin"/>
            </w:r>
            <w:r w:rsidR="00F03CE9">
              <w:rPr>
                <w:noProof/>
                <w:webHidden/>
              </w:rPr>
              <w:instrText xml:space="preserve"> PAGEREF _Toc232676281 \h </w:instrText>
            </w:r>
            <w:r w:rsidR="00F03CE9">
              <w:rPr>
                <w:noProof/>
                <w:webHidden/>
              </w:rPr>
            </w:r>
            <w:r w:rsidR="00F03CE9">
              <w:rPr>
                <w:noProof/>
                <w:webHidden/>
              </w:rPr>
              <w:fldChar w:fldCharType="separate"/>
            </w:r>
            <w:r w:rsidR="00F03CE9">
              <w:rPr>
                <w:noProof/>
                <w:webHidden/>
              </w:rPr>
              <w:t>2</w:t>
            </w:r>
            <w:r w:rsidR="00F03CE9">
              <w:rPr>
                <w:noProof/>
                <w:webHidden/>
              </w:rPr>
              <w:fldChar w:fldCharType="end"/>
            </w:r>
          </w:hyperlink>
        </w:p>
        <w:p w14:paraId="508CB073" w14:textId="751547FA" w:rsidR="00F03CE9" w:rsidRDefault="00BB6EE1">
          <w:pPr>
            <w:pStyle w:val="TOC1"/>
            <w:rPr>
              <w:rFonts w:asciiTheme="minorHAnsi" w:eastAsiaTheme="minorEastAsia" w:hAnsiTheme="minorHAnsi"/>
              <w:noProof/>
              <w:lang w:eastAsia="en-IE"/>
            </w:rPr>
          </w:pPr>
          <w:hyperlink w:anchor="_Toc232676282" w:history="1">
            <w:r w:rsidR="00F03CE9" w:rsidRPr="00DD2C4F">
              <w:rPr>
                <w:rStyle w:val="Hyperlink"/>
                <w:rFonts w:eastAsia="Times New Roman" w:cs="Arial"/>
                <w:noProof/>
                <w:lang w:val="en-GB" w:eastAsia="zh-CN"/>
              </w:rPr>
              <w:t>How to apply for this post.</w:t>
            </w:r>
            <w:r w:rsidR="00F03CE9">
              <w:rPr>
                <w:noProof/>
                <w:webHidden/>
              </w:rPr>
              <w:tab/>
            </w:r>
            <w:r w:rsidR="00F03CE9">
              <w:rPr>
                <w:noProof/>
                <w:webHidden/>
              </w:rPr>
              <w:fldChar w:fldCharType="begin"/>
            </w:r>
            <w:r w:rsidR="00F03CE9">
              <w:rPr>
                <w:noProof/>
                <w:webHidden/>
              </w:rPr>
              <w:instrText xml:space="preserve"> PAGEREF _Toc232676282 \h </w:instrText>
            </w:r>
            <w:r w:rsidR="00F03CE9">
              <w:rPr>
                <w:noProof/>
                <w:webHidden/>
              </w:rPr>
            </w:r>
            <w:r w:rsidR="00F03CE9">
              <w:rPr>
                <w:noProof/>
                <w:webHidden/>
              </w:rPr>
              <w:fldChar w:fldCharType="separate"/>
            </w:r>
            <w:r w:rsidR="00F03CE9">
              <w:rPr>
                <w:noProof/>
                <w:webHidden/>
              </w:rPr>
              <w:t>3</w:t>
            </w:r>
            <w:r w:rsidR="00F03CE9">
              <w:rPr>
                <w:noProof/>
                <w:webHidden/>
              </w:rPr>
              <w:fldChar w:fldCharType="end"/>
            </w:r>
          </w:hyperlink>
        </w:p>
        <w:p w14:paraId="405A1D72" w14:textId="69CA4BF8" w:rsidR="00F03CE9" w:rsidRDefault="00BB6EE1">
          <w:pPr>
            <w:pStyle w:val="TOC1"/>
            <w:rPr>
              <w:rFonts w:asciiTheme="minorHAnsi" w:eastAsiaTheme="minorEastAsia" w:hAnsiTheme="minorHAnsi"/>
              <w:noProof/>
              <w:lang w:eastAsia="en-IE"/>
            </w:rPr>
          </w:pPr>
          <w:hyperlink w:anchor="_Toc232676283" w:history="1">
            <w:r w:rsidR="00F03CE9" w:rsidRPr="00DD2C4F">
              <w:rPr>
                <w:rStyle w:val="Hyperlink"/>
                <w:rFonts w:eastAsia="Times New Roman"/>
                <w:noProof/>
                <w:lang w:val="en-GB" w:eastAsia="zh-CN"/>
              </w:rPr>
              <w:t>How we will manage the selection process.</w:t>
            </w:r>
            <w:r w:rsidR="00F03CE9">
              <w:rPr>
                <w:noProof/>
                <w:webHidden/>
              </w:rPr>
              <w:tab/>
            </w:r>
            <w:r w:rsidR="00F03CE9">
              <w:rPr>
                <w:noProof/>
                <w:webHidden/>
              </w:rPr>
              <w:fldChar w:fldCharType="begin"/>
            </w:r>
            <w:r w:rsidR="00F03CE9">
              <w:rPr>
                <w:noProof/>
                <w:webHidden/>
              </w:rPr>
              <w:instrText xml:space="preserve"> PAGEREF _Toc232676283 \h </w:instrText>
            </w:r>
            <w:r w:rsidR="00F03CE9">
              <w:rPr>
                <w:noProof/>
                <w:webHidden/>
              </w:rPr>
            </w:r>
            <w:r w:rsidR="00F03CE9">
              <w:rPr>
                <w:noProof/>
                <w:webHidden/>
              </w:rPr>
              <w:fldChar w:fldCharType="separate"/>
            </w:r>
            <w:r w:rsidR="00F03CE9">
              <w:rPr>
                <w:noProof/>
                <w:webHidden/>
              </w:rPr>
              <w:t>4</w:t>
            </w:r>
            <w:r w:rsidR="00F03CE9">
              <w:rPr>
                <w:noProof/>
                <w:webHidden/>
              </w:rPr>
              <w:fldChar w:fldCharType="end"/>
            </w:r>
          </w:hyperlink>
        </w:p>
        <w:p w14:paraId="5C2866F1" w14:textId="3918661A" w:rsidR="00F03CE9" w:rsidRDefault="00BB6EE1">
          <w:pPr>
            <w:pStyle w:val="TOC1"/>
            <w:rPr>
              <w:rFonts w:asciiTheme="minorHAnsi" w:eastAsiaTheme="minorEastAsia" w:hAnsiTheme="minorHAnsi"/>
              <w:noProof/>
              <w:lang w:eastAsia="en-IE"/>
            </w:rPr>
          </w:pPr>
          <w:hyperlink w:anchor="_Toc232676284" w:history="1">
            <w:r w:rsidR="00F03CE9" w:rsidRPr="00DD2C4F">
              <w:rPr>
                <w:rStyle w:val="Hyperlink"/>
                <w:rFonts w:eastAsia="Times New Roman"/>
                <w:noProof/>
                <w:lang w:val="en-GB" w:eastAsia="zh-CN"/>
              </w:rPr>
              <w:t>Candidate supports</w:t>
            </w:r>
            <w:r w:rsidR="00F03CE9">
              <w:rPr>
                <w:noProof/>
                <w:webHidden/>
              </w:rPr>
              <w:tab/>
            </w:r>
            <w:r w:rsidR="00F03CE9">
              <w:rPr>
                <w:noProof/>
                <w:webHidden/>
              </w:rPr>
              <w:fldChar w:fldCharType="begin"/>
            </w:r>
            <w:r w:rsidR="00F03CE9">
              <w:rPr>
                <w:noProof/>
                <w:webHidden/>
              </w:rPr>
              <w:instrText xml:space="preserve"> PAGEREF _Toc232676284 \h </w:instrText>
            </w:r>
            <w:r w:rsidR="00F03CE9">
              <w:rPr>
                <w:noProof/>
                <w:webHidden/>
              </w:rPr>
            </w:r>
            <w:r w:rsidR="00F03CE9">
              <w:rPr>
                <w:noProof/>
                <w:webHidden/>
              </w:rPr>
              <w:fldChar w:fldCharType="separate"/>
            </w:r>
            <w:r w:rsidR="00F03CE9">
              <w:rPr>
                <w:noProof/>
                <w:webHidden/>
              </w:rPr>
              <w:t>5</w:t>
            </w:r>
            <w:r w:rsidR="00F03CE9">
              <w:rPr>
                <w:noProof/>
                <w:webHidden/>
              </w:rPr>
              <w:fldChar w:fldCharType="end"/>
            </w:r>
          </w:hyperlink>
        </w:p>
        <w:p w14:paraId="1502252A" w14:textId="5CA557A4" w:rsidR="00F03CE9" w:rsidRDefault="00BB6EE1">
          <w:pPr>
            <w:pStyle w:val="TOC1"/>
            <w:rPr>
              <w:rFonts w:asciiTheme="minorHAnsi" w:eastAsiaTheme="minorEastAsia" w:hAnsiTheme="minorHAnsi"/>
              <w:noProof/>
              <w:lang w:eastAsia="en-IE"/>
            </w:rPr>
          </w:pPr>
          <w:hyperlink w:anchor="_Toc232676285" w:history="1">
            <w:r w:rsidR="00F03CE9" w:rsidRPr="00DD2C4F">
              <w:rPr>
                <w:rStyle w:val="Hyperlink"/>
                <w:rFonts w:eastAsia="Times New Roman"/>
                <w:noProof/>
                <w:lang w:val="en-GB" w:eastAsia="zh-CN"/>
              </w:rPr>
              <w:t>Reasonable Accommodation requests for candidates with disabilities</w:t>
            </w:r>
            <w:r w:rsidR="00F03CE9">
              <w:rPr>
                <w:noProof/>
                <w:webHidden/>
              </w:rPr>
              <w:tab/>
            </w:r>
            <w:r w:rsidR="00F03CE9">
              <w:rPr>
                <w:noProof/>
                <w:webHidden/>
              </w:rPr>
              <w:fldChar w:fldCharType="begin"/>
            </w:r>
            <w:r w:rsidR="00F03CE9">
              <w:rPr>
                <w:noProof/>
                <w:webHidden/>
              </w:rPr>
              <w:instrText xml:space="preserve"> PAGEREF _Toc232676285 \h </w:instrText>
            </w:r>
            <w:r w:rsidR="00F03CE9">
              <w:rPr>
                <w:noProof/>
                <w:webHidden/>
              </w:rPr>
            </w:r>
            <w:r w:rsidR="00F03CE9">
              <w:rPr>
                <w:noProof/>
                <w:webHidden/>
              </w:rPr>
              <w:fldChar w:fldCharType="separate"/>
            </w:r>
            <w:r w:rsidR="00F03CE9">
              <w:rPr>
                <w:noProof/>
                <w:webHidden/>
              </w:rPr>
              <w:t>6</w:t>
            </w:r>
            <w:r w:rsidR="00F03CE9">
              <w:rPr>
                <w:noProof/>
                <w:webHidden/>
              </w:rPr>
              <w:fldChar w:fldCharType="end"/>
            </w:r>
          </w:hyperlink>
        </w:p>
        <w:p w14:paraId="0E58682B" w14:textId="5AA5DD54" w:rsidR="00F03CE9" w:rsidRDefault="00BB6EE1">
          <w:pPr>
            <w:pStyle w:val="TOC1"/>
            <w:rPr>
              <w:rFonts w:asciiTheme="minorHAnsi" w:eastAsiaTheme="minorEastAsia" w:hAnsiTheme="minorHAnsi"/>
              <w:noProof/>
              <w:lang w:eastAsia="en-IE"/>
            </w:rPr>
          </w:pPr>
          <w:hyperlink w:anchor="_Toc232676286" w:history="1">
            <w:r w:rsidR="00F03CE9" w:rsidRPr="00DD2C4F">
              <w:rPr>
                <w:rStyle w:val="Hyperlink"/>
                <w:rFonts w:eastAsia="Times New Roman"/>
                <w:noProof/>
                <w:lang w:val="en-GB" w:eastAsia="zh-CN"/>
              </w:rPr>
              <w:t>Interview notes</w:t>
            </w:r>
            <w:r w:rsidR="00F03CE9">
              <w:rPr>
                <w:noProof/>
                <w:webHidden/>
              </w:rPr>
              <w:tab/>
            </w:r>
            <w:r w:rsidR="00F03CE9">
              <w:rPr>
                <w:noProof/>
                <w:webHidden/>
              </w:rPr>
              <w:fldChar w:fldCharType="begin"/>
            </w:r>
            <w:r w:rsidR="00F03CE9">
              <w:rPr>
                <w:noProof/>
                <w:webHidden/>
              </w:rPr>
              <w:instrText xml:space="preserve"> PAGEREF _Toc232676286 \h </w:instrText>
            </w:r>
            <w:r w:rsidR="00F03CE9">
              <w:rPr>
                <w:noProof/>
                <w:webHidden/>
              </w:rPr>
            </w:r>
            <w:r w:rsidR="00F03CE9">
              <w:rPr>
                <w:noProof/>
                <w:webHidden/>
              </w:rPr>
              <w:fldChar w:fldCharType="separate"/>
            </w:r>
            <w:r w:rsidR="00F03CE9">
              <w:rPr>
                <w:noProof/>
                <w:webHidden/>
              </w:rPr>
              <w:t>6</w:t>
            </w:r>
            <w:r w:rsidR="00F03CE9">
              <w:rPr>
                <w:noProof/>
                <w:webHidden/>
              </w:rPr>
              <w:fldChar w:fldCharType="end"/>
            </w:r>
          </w:hyperlink>
        </w:p>
        <w:p w14:paraId="70A0FE07" w14:textId="76147511" w:rsidR="00F03CE9" w:rsidRDefault="00BB6EE1">
          <w:pPr>
            <w:pStyle w:val="TOC1"/>
            <w:rPr>
              <w:rFonts w:asciiTheme="minorHAnsi" w:eastAsiaTheme="minorEastAsia" w:hAnsiTheme="minorHAnsi"/>
              <w:noProof/>
              <w:lang w:eastAsia="en-IE"/>
            </w:rPr>
          </w:pPr>
          <w:hyperlink w:anchor="_Toc232676287" w:history="1">
            <w:r w:rsidR="00F03CE9" w:rsidRPr="00DD2C4F">
              <w:rPr>
                <w:rStyle w:val="Hyperlink"/>
                <w:rFonts w:eastAsia="Times New Roman"/>
                <w:noProof/>
                <w:lang w:val="en-GB" w:eastAsia="zh-CN"/>
              </w:rPr>
              <w:t>Formation of panels</w:t>
            </w:r>
            <w:r w:rsidR="00F03CE9">
              <w:rPr>
                <w:noProof/>
                <w:webHidden/>
              </w:rPr>
              <w:tab/>
            </w:r>
            <w:r w:rsidR="00F03CE9">
              <w:rPr>
                <w:noProof/>
                <w:webHidden/>
              </w:rPr>
              <w:fldChar w:fldCharType="begin"/>
            </w:r>
            <w:r w:rsidR="00F03CE9">
              <w:rPr>
                <w:noProof/>
                <w:webHidden/>
              </w:rPr>
              <w:instrText xml:space="preserve"> PAGEREF _Toc232676287 \h </w:instrText>
            </w:r>
            <w:r w:rsidR="00F03CE9">
              <w:rPr>
                <w:noProof/>
                <w:webHidden/>
              </w:rPr>
            </w:r>
            <w:r w:rsidR="00F03CE9">
              <w:rPr>
                <w:noProof/>
                <w:webHidden/>
              </w:rPr>
              <w:fldChar w:fldCharType="separate"/>
            </w:r>
            <w:r w:rsidR="00F03CE9">
              <w:rPr>
                <w:noProof/>
                <w:webHidden/>
              </w:rPr>
              <w:t>6</w:t>
            </w:r>
            <w:r w:rsidR="00F03CE9">
              <w:rPr>
                <w:noProof/>
                <w:webHidden/>
              </w:rPr>
              <w:fldChar w:fldCharType="end"/>
            </w:r>
          </w:hyperlink>
        </w:p>
        <w:p w14:paraId="6B3E4C86" w14:textId="0F9016A6" w:rsidR="00F03CE9" w:rsidRDefault="00BB6EE1">
          <w:pPr>
            <w:pStyle w:val="TOC1"/>
            <w:rPr>
              <w:rFonts w:asciiTheme="minorHAnsi" w:eastAsiaTheme="minorEastAsia" w:hAnsiTheme="minorHAnsi"/>
              <w:noProof/>
              <w:lang w:eastAsia="en-IE"/>
            </w:rPr>
          </w:pPr>
          <w:hyperlink w:anchor="_Toc232676288" w:history="1">
            <w:r w:rsidR="00F03CE9" w:rsidRPr="00DD2C4F">
              <w:rPr>
                <w:rStyle w:val="Hyperlink"/>
                <w:rFonts w:eastAsia="Times New Roman"/>
                <w:noProof/>
                <w:lang w:val="en-GB" w:eastAsia="zh-CN"/>
              </w:rPr>
              <w:t>Marking System</w:t>
            </w:r>
            <w:r w:rsidR="00F03CE9">
              <w:rPr>
                <w:noProof/>
                <w:webHidden/>
              </w:rPr>
              <w:tab/>
            </w:r>
            <w:r w:rsidR="00F03CE9">
              <w:rPr>
                <w:noProof/>
                <w:webHidden/>
              </w:rPr>
              <w:fldChar w:fldCharType="begin"/>
            </w:r>
            <w:r w:rsidR="00F03CE9">
              <w:rPr>
                <w:noProof/>
                <w:webHidden/>
              </w:rPr>
              <w:instrText xml:space="preserve"> PAGEREF _Toc232676288 \h </w:instrText>
            </w:r>
            <w:r w:rsidR="00F03CE9">
              <w:rPr>
                <w:noProof/>
                <w:webHidden/>
              </w:rPr>
            </w:r>
            <w:r w:rsidR="00F03CE9">
              <w:rPr>
                <w:noProof/>
                <w:webHidden/>
              </w:rPr>
              <w:fldChar w:fldCharType="separate"/>
            </w:r>
            <w:r w:rsidR="00F03CE9">
              <w:rPr>
                <w:noProof/>
                <w:webHidden/>
              </w:rPr>
              <w:t>6</w:t>
            </w:r>
            <w:r w:rsidR="00F03CE9">
              <w:rPr>
                <w:noProof/>
                <w:webHidden/>
              </w:rPr>
              <w:fldChar w:fldCharType="end"/>
            </w:r>
          </w:hyperlink>
        </w:p>
        <w:p w14:paraId="500AA5CB" w14:textId="19439B1D" w:rsidR="00F03CE9" w:rsidRDefault="00BB6EE1">
          <w:pPr>
            <w:pStyle w:val="TOC1"/>
            <w:rPr>
              <w:rFonts w:asciiTheme="minorHAnsi" w:eastAsiaTheme="minorEastAsia" w:hAnsiTheme="minorHAnsi"/>
              <w:noProof/>
              <w:lang w:eastAsia="en-IE"/>
            </w:rPr>
          </w:pPr>
          <w:hyperlink w:anchor="_Toc232676289" w:history="1">
            <w:r w:rsidR="00F03CE9" w:rsidRPr="00DD2C4F">
              <w:rPr>
                <w:rStyle w:val="Hyperlink"/>
                <w:rFonts w:eastAsia="Times New Roman"/>
                <w:noProof/>
                <w:lang w:val="en-GB" w:eastAsia="zh-CN"/>
              </w:rPr>
              <w:t>Future panels</w:t>
            </w:r>
            <w:r w:rsidR="00F03CE9">
              <w:rPr>
                <w:noProof/>
                <w:webHidden/>
              </w:rPr>
              <w:tab/>
            </w:r>
            <w:r w:rsidR="00F03CE9">
              <w:rPr>
                <w:noProof/>
                <w:webHidden/>
              </w:rPr>
              <w:fldChar w:fldCharType="begin"/>
            </w:r>
            <w:r w:rsidR="00F03CE9">
              <w:rPr>
                <w:noProof/>
                <w:webHidden/>
              </w:rPr>
              <w:instrText xml:space="preserve"> PAGEREF _Toc232676289 \h </w:instrText>
            </w:r>
            <w:r w:rsidR="00F03CE9">
              <w:rPr>
                <w:noProof/>
                <w:webHidden/>
              </w:rPr>
            </w:r>
            <w:r w:rsidR="00F03CE9">
              <w:rPr>
                <w:noProof/>
                <w:webHidden/>
              </w:rPr>
              <w:fldChar w:fldCharType="separate"/>
            </w:r>
            <w:r w:rsidR="00F03CE9">
              <w:rPr>
                <w:noProof/>
                <w:webHidden/>
              </w:rPr>
              <w:t>7</w:t>
            </w:r>
            <w:r w:rsidR="00F03CE9">
              <w:rPr>
                <w:noProof/>
                <w:webHidden/>
              </w:rPr>
              <w:fldChar w:fldCharType="end"/>
            </w:r>
          </w:hyperlink>
        </w:p>
        <w:p w14:paraId="438732FD" w14:textId="1D8B5FCE" w:rsidR="00F03CE9" w:rsidRDefault="00BB6EE1">
          <w:pPr>
            <w:pStyle w:val="TOC1"/>
            <w:rPr>
              <w:rFonts w:asciiTheme="minorHAnsi" w:eastAsiaTheme="minorEastAsia" w:hAnsiTheme="minorHAnsi"/>
              <w:noProof/>
              <w:lang w:eastAsia="en-IE"/>
            </w:rPr>
          </w:pPr>
          <w:hyperlink w:anchor="_Toc232676290" w:history="1">
            <w:r w:rsidR="00F03CE9" w:rsidRPr="00DD2C4F">
              <w:rPr>
                <w:rStyle w:val="Hyperlink"/>
                <w:rFonts w:eastAsia="Times New Roman"/>
                <w:noProof/>
                <w:lang w:val="en-GB" w:eastAsia="zh-CN"/>
              </w:rPr>
              <w:t>Acceptance / declination of a recommendation to proceed</w:t>
            </w:r>
            <w:r w:rsidR="00F03CE9">
              <w:rPr>
                <w:noProof/>
                <w:webHidden/>
              </w:rPr>
              <w:tab/>
            </w:r>
            <w:r w:rsidR="00F03CE9">
              <w:rPr>
                <w:noProof/>
                <w:webHidden/>
              </w:rPr>
              <w:fldChar w:fldCharType="begin"/>
            </w:r>
            <w:r w:rsidR="00F03CE9">
              <w:rPr>
                <w:noProof/>
                <w:webHidden/>
              </w:rPr>
              <w:instrText xml:space="preserve"> PAGEREF _Toc232676290 \h </w:instrText>
            </w:r>
            <w:r w:rsidR="00F03CE9">
              <w:rPr>
                <w:noProof/>
                <w:webHidden/>
              </w:rPr>
            </w:r>
            <w:r w:rsidR="00F03CE9">
              <w:rPr>
                <w:noProof/>
                <w:webHidden/>
              </w:rPr>
              <w:fldChar w:fldCharType="separate"/>
            </w:r>
            <w:r w:rsidR="00F03CE9">
              <w:rPr>
                <w:noProof/>
                <w:webHidden/>
              </w:rPr>
              <w:t>8</w:t>
            </w:r>
            <w:r w:rsidR="00F03CE9">
              <w:rPr>
                <w:noProof/>
                <w:webHidden/>
              </w:rPr>
              <w:fldChar w:fldCharType="end"/>
            </w:r>
          </w:hyperlink>
        </w:p>
        <w:p w14:paraId="34BBF05F" w14:textId="4E577F4F" w:rsidR="00F03CE9" w:rsidRDefault="00BB6EE1">
          <w:pPr>
            <w:pStyle w:val="TOC1"/>
            <w:rPr>
              <w:rFonts w:asciiTheme="minorHAnsi" w:eastAsiaTheme="minorEastAsia" w:hAnsiTheme="minorHAnsi"/>
              <w:noProof/>
              <w:lang w:eastAsia="en-IE"/>
            </w:rPr>
          </w:pPr>
          <w:hyperlink w:anchor="_Toc232676291" w:history="1">
            <w:r w:rsidR="00F03CE9" w:rsidRPr="00DD2C4F">
              <w:rPr>
                <w:rStyle w:val="Hyperlink"/>
                <w:rFonts w:eastAsia="Times New Roman"/>
                <w:noProof/>
                <w:lang w:val="en-GB" w:eastAsia="zh-CN"/>
              </w:rPr>
              <w:t>Recruitment process time scales</w:t>
            </w:r>
            <w:r w:rsidR="00F03CE9">
              <w:rPr>
                <w:noProof/>
                <w:webHidden/>
              </w:rPr>
              <w:tab/>
            </w:r>
            <w:r w:rsidR="00F03CE9">
              <w:rPr>
                <w:noProof/>
                <w:webHidden/>
              </w:rPr>
              <w:fldChar w:fldCharType="begin"/>
            </w:r>
            <w:r w:rsidR="00F03CE9">
              <w:rPr>
                <w:noProof/>
                <w:webHidden/>
              </w:rPr>
              <w:instrText xml:space="preserve"> PAGEREF _Toc232676291 \h </w:instrText>
            </w:r>
            <w:r w:rsidR="00F03CE9">
              <w:rPr>
                <w:noProof/>
                <w:webHidden/>
              </w:rPr>
            </w:r>
            <w:r w:rsidR="00F03CE9">
              <w:rPr>
                <w:noProof/>
                <w:webHidden/>
              </w:rPr>
              <w:fldChar w:fldCharType="separate"/>
            </w:r>
            <w:r w:rsidR="00F03CE9">
              <w:rPr>
                <w:noProof/>
                <w:webHidden/>
              </w:rPr>
              <w:t>8</w:t>
            </w:r>
            <w:r w:rsidR="00F03CE9">
              <w:rPr>
                <w:noProof/>
                <w:webHidden/>
              </w:rPr>
              <w:fldChar w:fldCharType="end"/>
            </w:r>
          </w:hyperlink>
        </w:p>
        <w:p w14:paraId="29014BE6" w14:textId="7569A18F" w:rsidR="00F03CE9" w:rsidRDefault="00BB6EE1">
          <w:pPr>
            <w:pStyle w:val="TOC1"/>
            <w:rPr>
              <w:rFonts w:asciiTheme="minorHAnsi" w:eastAsiaTheme="minorEastAsia" w:hAnsiTheme="minorHAnsi"/>
              <w:noProof/>
              <w:lang w:eastAsia="en-IE"/>
            </w:rPr>
          </w:pPr>
          <w:hyperlink w:anchor="_Toc232676292" w:history="1">
            <w:r w:rsidR="00F03CE9" w:rsidRPr="00DD2C4F">
              <w:rPr>
                <w:rStyle w:val="Hyperlink"/>
                <w:rFonts w:eastAsia="Times New Roman"/>
                <w:noProof/>
                <w:lang w:val="en-GB" w:eastAsia="zh-CN"/>
              </w:rPr>
              <w:t>Security clearance</w:t>
            </w:r>
            <w:r w:rsidR="00F03CE9">
              <w:rPr>
                <w:noProof/>
                <w:webHidden/>
              </w:rPr>
              <w:tab/>
            </w:r>
            <w:r w:rsidR="00F03CE9">
              <w:rPr>
                <w:noProof/>
                <w:webHidden/>
              </w:rPr>
              <w:fldChar w:fldCharType="begin"/>
            </w:r>
            <w:r w:rsidR="00F03CE9">
              <w:rPr>
                <w:noProof/>
                <w:webHidden/>
              </w:rPr>
              <w:instrText xml:space="preserve"> PAGEREF _Toc232676292 \h </w:instrText>
            </w:r>
            <w:r w:rsidR="00F03CE9">
              <w:rPr>
                <w:noProof/>
                <w:webHidden/>
              </w:rPr>
            </w:r>
            <w:r w:rsidR="00F03CE9">
              <w:rPr>
                <w:noProof/>
                <w:webHidden/>
              </w:rPr>
              <w:fldChar w:fldCharType="separate"/>
            </w:r>
            <w:r w:rsidR="00F03CE9">
              <w:rPr>
                <w:noProof/>
                <w:webHidden/>
              </w:rPr>
              <w:t>8</w:t>
            </w:r>
            <w:r w:rsidR="00F03CE9">
              <w:rPr>
                <w:noProof/>
                <w:webHidden/>
              </w:rPr>
              <w:fldChar w:fldCharType="end"/>
            </w:r>
          </w:hyperlink>
        </w:p>
        <w:p w14:paraId="31C972CC" w14:textId="7DAD7E8D" w:rsidR="00F03CE9" w:rsidRDefault="00BB6EE1">
          <w:pPr>
            <w:pStyle w:val="TOC1"/>
            <w:rPr>
              <w:rFonts w:asciiTheme="minorHAnsi" w:eastAsiaTheme="minorEastAsia" w:hAnsiTheme="minorHAnsi"/>
              <w:noProof/>
              <w:lang w:eastAsia="en-IE"/>
            </w:rPr>
          </w:pPr>
          <w:hyperlink w:anchor="_Toc232676293" w:history="1">
            <w:r w:rsidR="00F03CE9" w:rsidRPr="00DD2C4F">
              <w:rPr>
                <w:rStyle w:val="Hyperlink"/>
                <w:rFonts w:eastAsia="Times New Roman"/>
                <w:noProof/>
                <w:lang w:val="en-GB" w:eastAsia="zh-CN"/>
              </w:rPr>
              <w:t>Review and complaint procedure (CPSA)</w:t>
            </w:r>
            <w:r w:rsidR="00F03CE9">
              <w:rPr>
                <w:noProof/>
                <w:webHidden/>
              </w:rPr>
              <w:tab/>
            </w:r>
            <w:r w:rsidR="00F03CE9">
              <w:rPr>
                <w:noProof/>
                <w:webHidden/>
              </w:rPr>
              <w:fldChar w:fldCharType="begin"/>
            </w:r>
            <w:r w:rsidR="00F03CE9">
              <w:rPr>
                <w:noProof/>
                <w:webHidden/>
              </w:rPr>
              <w:instrText xml:space="preserve"> PAGEREF _Toc232676293 \h </w:instrText>
            </w:r>
            <w:r w:rsidR="00F03CE9">
              <w:rPr>
                <w:noProof/>
                <w:webHidden/>
              </w:rPr>
            </w:r>
            <w:r w:rsidR="00F03CE9">
              <w:rPr>
                <w:noProof/>
                <w:webHidden/>
              </w:rPr>
              <w:fldChar w:fldCharType="separate"/>
            </w:r>
            <w:r w:rsidR="00F03CE9">
              <w:rPr>
                <w:noProof/>
                <w:webHidden/>
              </w:rPr>
              <w:t>8</w:t>
            </w:r>
            <w:r w:rsidR="00F03CE9">
              <w:rPr>
                <w:noProof/>
                <w:webHidden/>
              </w:rPr>
              <w:fldChar w:fldCharType="end"/>
            </w:r>
          </w:hyperlink>
        </w:p>
        <w:p w14:paraId="1845D773" w14:textId="7C15494E" w:rsidR="00F03CE9" w:rsidRDefault="00BB6EE1">
          <w:pPr>
            <w:pStyle w:val="TOC1"/>
            <w:rPr>
              <w:rFonts w:asciiTheme="minorHAnsi" w:eastAsiaTheme="minorEastAsia" w:hAnsiTheme="minorHAnsi"/>
              <w:noProof/>
              <w:lang w:eastAsia="en-IE"/>
            </w:rPr>
          </w:pPr>
          <w:hyperlink w:anchor="_Toc232676294" w:history="1">
            <w:r w:rsidR="00F03CE9" w:rsidRPr="00DD2C4F">
              <w:rPr>
                <w:rStyle w:val="Hyperlink"/>
                <w:rFonts w:eastAsia="Times New Roman"/>
                <w:noProof/>
                <w:lang w:val="en-GB" w:eastAsia="zh-CN"/>
              </w:rPr>
              <w:t>HSE Privacy policy</w:t>
            </w:r>
            <w:r w:rsidR="00F03CE9">
              <w:rPr>
                <w:noProof/>
                <w:webHidden/>
              </w:rPr>
              <w:tab/>
            </w:r>
            <w:r w:rsidR="00F03CE9">
              <w:rPr>
                <w:noProof/>
                <w:webHidden/>
              </w:rPr>
              <w:fldChar w:fldCharType="begin"/>
            </w:r>
            <w:r w:rsidR="00F03CE9">
              <w:rPr>
                <w:noProof/>
                <w:webHidden/>
              </w:rPr>
              <w:instrText xml:space="preserve"> PAGEREF _Toc232676294 \h </w:instrText>
            </w:r>
            <w:r w:rsidR="00F03CE9">
              <w:rPr>
                <w:noProof/>
                <w:webHidden/>
              </w:rPr>
            </w:r>
            <w:r w:rsidR="00F03CE9">
              <w:rPr>
                <w:noProof/>
                <w:webHidden/>
              </w:rPr>
              <w:fldChar w:fldCharType="separate"/>
            </w:r>
            <w:r w:rsidR="00F03CE9">
              <w:rPr>
                <w:noProof/>
                <w:webHidden/>
              </w:rPr>
              <w:t>9</w:t>
            </w:r>
            <w:r w:rsidR="00F03CE9">
              <w:rPr>
                <w:noProof/>
                <w:webHidden/>
              </w:rPr>
              <w:fldChar w:fldCharType="end"/>
            </w:r>
          </w:hyperlink>
        </w:p>
        <w:p w14:paraId="4A671A5D" w14:textId="4345EEC2" w:rsidR="00F03CE9" w:rsidRDefault="00BB6EE1">
          <w:pPr>
            <w:pStyle w:val="TOC1"/>
            <w:rPr>
              <w:rFonts w:asciiTheme="minorHAnsi" w:eastAsiaTheme="minorEastAsia" w:hAnsiTheme="minorHAnsi"/>
              <w:noProof/>
              <w:lang w:eastAsia="en-IE"/>
            </w:rPr>
          </w:pPr>
          <w:hyperlink w:anchor="_Toc232676295" w:history="1">
            <w:r w:rsidR="00F03CE9" w:rsidRPr="00DD2C4F">
              <w:rPr>
                <w:rStyle w:val="Hyperlink"/>
                <w:rFonts w:eastAsia="Times New Roman"/>
                <w:noProof/>
                <w:lang w:val="en-GB" w:eastAsia="zh-CN"/>
              </w:rPr>
              <w:t>Superannuation / Pension Information</w:t>
            </w:r>
            <w:r w:rsidR="00F03CE9">
              <w:rPr>
                <w:noProof/>
                <w:webHidden/>
              </w:rPr>
              <w:tab/>
            </w:r>
            <w:r w:rsidR="00F03CE9">
              <w:rPr>
                <w:noProof/>
                <w:webHidden/>
              </w:rPr>
              <w:fldChar w:fldCharType="begin"/>
            </w:r>
            <w:r w:rsidR="00F03CE9">
              <w:rPr>
                <w:noProof/>
                <w:webHidden/>
              </w:rPr>
              <w:instrText xml:space="preserve"> PAGEREF _Toc232676295 \h </w:instrText>
            </w:r>
            <w:r w:rsidR="00F03CE9">
              <w:rPr>
                <w:noProof/>
                <w:webHidden/>
              </w:rPr>
            </w:r>
            <w:r w:rsidR="00F03CE9">
              <w:rPr>
                <w:noProof/>
                <w:webHidden/>
              </w:rPr>
              <w:fldChar w:fldCharType="separate"/>
            </w:r>
            <w:r w:rsidR="00F03CE9">
              <w:rPr>
                <w:noProof/>
                <w:webHidden/>
              </w:rPr>
              <w:t>9</w:t>
            </w:r>
            <w:r w:rsidR="00F03CE9">
              <w:rPr>
                <w:noProof/>
                <w:webHidden/>
              </w:rPr>
              <w:fldChar w:fldCharType="end"/>
            </w:r>
          </w:hyperlink>
        </w:p>
        <w:p w14:paraId="706B357A" w14:textId="33E2936D" w:rsidR="00F03CE9" w:rsidRDefault="00BB6EE1">
          <w:pPr>
            <w:pStyle w:val="TOC1"/>
            <w:rPr>
              <w:rFonts w:asciiTheme="minorHAnsi" w:eastAsiaTheme="minorEastAsia" w:hAnsiTheme="minorHAnsi"/>
              <w:noProof/>
              <w:lang w:eastAsia="en-IE"/>
            </w:rPr>
          </w:pPr>
          <w:hyperlink w:anchor="_Toc232676296" w:history="1">
            <w:r w:rsidR="00F03CE9" w:rsidRPr="00DD2C4F">
              <w:rPr>
                <w:rStyle w:val="Hyperlink"/>
                <w:rFonts w:cs="Arial"/>
                <w:noProof/>
              </w:rPr>
              <w:t>Appendices: Supplementary recruitment and selection process information</w:t>
            </w:r>
            <w:r w:rsidR="00F03CE9">
              <w:rPr>
                <w:noProof/>
                <w:webHidden/>
              </w:rPr>
              <w:tab/>
            </w:r>
            <w:r w:rsidR="00F03CE9">
              <w:rPr>
                <w:noProof/>
                <w:webHidden/>
              </w:rPr>
              <w:fldChar w:fldCharType="begin"/>
            </w:r>
            <w:r w:rsidR="00F03CE9">
              <w:rPr>
                <w:noProof/>
                <w:webHidden/>
              </w:rPr>
              <w:instrText xml:space="preserve"> PAGEREF _Toc232676296 \h </w:instrText>
            </w:r>
            <w:r w:rsidR="00F03CE9">
              <w:rPr>
                <w:noProof/>
                <w:webHidden/>
              </w:rPr>
            </w:r>
            <w:r w:rsidR="00F03CE9">
              <w:rPr>
                <w:noProof/>
                <w:webHidden/>
              </w:rPr>
              <w:fldChar w:fldCharType="separate"/>
            </w:r>
            <w:r w:rsidR="00F03CE9">
              <w:rPr>
                <w:noProof/>
                <w:webHidden/>
              </w:rPr>
              <w:t>12</w:t>
            </w:r>
            <w:r w:rsidR="00F03CE9">
              <w:rPr>
                <w:noProof/>
                <w:webHidden/>
              </w:rPr>
              <w:fldChar w:fldCharType="end"/>
            </w:r>
          </w:hyperlink>
        </w:p>
        <w:p w14:paraId="5BEF8566" w14:textId="151AE729" w:rsidR="00F03CE9" w:rsidRDefault="00BB6EE1">
          <w:pPr>
            <w:pStyle w:val="TOC2"/>
            <w:tabs>
              <w:tab w:val="right" w:leader="dot" w:pos="9016"/>
            </w:tabs>
            <w:rPr>
              <w:rFonts w:asciiTheme="minorHAnsi" w:eastAsiaTheme="minorEastAsia" w:hAnsiTheme="minorHAnsi"/>
              <w:noProof/>
              <w:sz w:val="22"/>
              <w:lang w:eastAsia="en-IE"/>
            </w:rPr>
          </w:pPr>
          <w:hyperlink w:anchor="_Toc232676297" w:history="1">
            <w:r w:rsidR="00F03CE9" w:rsidRPr="00DD2C4F">
              <w:rPr>
                <w:rStyle w:val="Hyperlink"/>
                <w:noProof/>
              </w:rPr>
              <w:t>Appendix 2: EEA, Swiss, British and Non-EEA Applicants</w:t>
            </w:r>
            <w:r w:rsidR="00F03CE9">
              <w:rPr>
                <w:noProof/>
                <w:webHidden/>
              </w:rPr>
              <w:tab/>
            </w:r>
            <w:r w:rsidR="00F03CE9">
              <w:rPr>
                <w:noProof/>
                <w:webHidden/>
              </w:rPr>
              <w:fldChar w:fldCharType="begin"/>
            </w:r>
            <w:r w:rsidR="00F03CE9">
              <w:rPr>
                <w:noProof/>
                <w:webHidden/>
              </w:rPr>
              <w:instrText xml:space="preserve"> PAGEREF _Toc232676297 \h </w:instrText>
            </w:r>
            <w:r w:rsidR="00F03CE9">
              <w:rPr>
                <w:noProof/>
                <w:webHidden/>
              </w:rPr>
            </w:r>
            <w:r w:rsidR="00F03CE9">
              <w:rPr>
                <w:noProof/>
                <w:webHidden/>
              </w:rPr>
              <w:fldChar w:fldCharType="separate"/>
            </w:r>
            <w:r w:rsidR="00F03CE9">
              <w:rPr>
                <w:noProof/>
                <w:webHidden/>
              </w:rPr>
              <w:t>14</w:t>
            </w:r>
            <w:r w:rsidR="00F03CE9">
              <w:rPr>
                <w:noProof/>
                <w:webHidden/>
              </w:rPr>
              <w:fldChar w:fldCharType="end"/>
            </w:r>
          </w:hyperlink>
        </w:p>
        <w:p w14:paraId="0EDD9278" w14:textId="4B95DC9F" w:rsidR="00F03CE9" w:rsidRDefault="00BB6EE1">
          <w:pPr>
            <w:pStyle w:val="TOC2"/>
            <w:tabs>
              <w:tab w:val="right" w:leader="dot" w:pos="9016"/>
            </w:tabs>
            <w:rPr>
              <w:rFonts w:asciiTheme="minorHAnsi" w:eastAsiaTheme="minorEastAsia" w:hAnsiTheme="minorHAnsi"/>
              <w:noProof/>
              <w:sz w:val="22"/>
              <w:lang w:eastAsia="en-IE"/>
            </w:rPr>
          </w:pPr>
          <w:hyperlink w:anchor="_Toc232676298" w:history="1">
            <w:r w:rsidR="00F03CE9" w:rsidRPr="00DD2C4F">
              <w:rPr>
                <w:rStyle w:val="Hyperlink"/>
                <w:rFonts w:eastAsia="Times New Roman"/>
                <w:noProof/>
                <w:lang w:val="en-GB" w:eastAsia="zh-CN"/>
              </w:rPr>
              <w:t>Appendix: 4 Interview Reasonable Accommodation (RA) requests process flowchart for candidates</w:t>
            </w:r>
            <w:r w:rsidR="00F03CE9">
              <w:rPr>
                <w:noProof/>
                <w:webHidden/>
              </w:rPr>
              <w:tab/>
            </w:r>
            <w:r w:rsidR="00F03CE9">
              <w:rPr>
                <w:noProof/>
                <w:webHidden/>
              </w:rPr>
              <w:fldChar w:fldCharType="begin"/>
            </w:r>
            <w:r w:rsidR="00F03CE9">
              <w:rPr>
                <w:noProof/>
                <w:webHidden/>
              </w:rPr>
              <w:instrText xml:space="preserve"> PAGEREF _Toc232676298 \h </w:instrText>
            </w:r>
            <w:r w:rsidR="00F03CE9">
              <w:rPr>
                <w:noProof/>
                <w:webHidden/>
              </w:rPr>
            </w:r>
            <w:r w:rsidR="00F03CE9">
              <w:rPr>
                <w:noProof/>
                <w:webHidden/>
              </w:rPr>
              <w:fldChar w:fldCharType="separate"/>
            </w:r>
            <w:r w:rsidR="00F03CE9">
              <w:rPr>
                <w:noProof/>
                <w:webHidden/>
              </w:rPr>
              <w:t>18</w:t>
            </w:r>
            <w:r w:rsidR="00F03CE9">
              <w:rPr>
                <w:noProof/>
                <w:webHidden/>
              </w:rPr>
              <w:fldChar w:fldCharType="end"/>
            </w:r>
          </w:hyperlink>
        </w:p>
        <w:p w14:paraId="6548B519" w14:textId="43F66360" w:rsidR="00F03CE9" w:rsidRDefault="00BB6EE1">
          <w:pPr>
            <w:pStyle w:val="TOC2"/>
            <w:tabs>
              <w:tab w:val="right" w:leader="dot" w:pos="9016"/>
            </w:tabs>
            <w:rPr>
              <w:rFonts w:asciiTheme="minorHAnsi" w:eastAsiaTheme="minorEastAsia" w:hAnsiTheme="minorHAnsi"/>
              <w:noProof/>
              <w:sz w:val="22"/>
              <w:lang w:eastAsia="en-IE"/>
            </w:rPr>
          </w:pPr>
          <w:hyperlink w:anchor="_Toc232676299" w:history="1">
            <w:r w:rsidR="00F03CE9" w:rsidRPr="00DD2C4F">
              <w:rPr>
                <w:rStyle w:val="Hyperlink"/>
                <w:rFonts w:eastAsia="Times New Roman"/>
                <w:noProof/>
                <w:lang w:val="en-GB" w:eastAsia="zh-CN"/>
              </w:rPr>
              <w:t>Appendix: 5 Panel management rules</w:t>
            </w:r>
            <w:r w:rsidR="00F03CE9">
              <w:rPr>
                <w:noProof/>
                <w:webHidden/>
              </w:rPr>
              <w:tab/>
            </w:r>
            <w:r w:rsidR="00F03CE9">
              <w:rPr>
                <w:noProof/>
                <w:webHidden/>
              </w:rPr>
              <w:fldChar w:fldCharType="begin"/>
            </w:r>
            <w:r w:rsidR="00F03CE9">
              <w:rPr>
                <w:noProof/>
                <w:webHidden/>
              </w:rPr>
              <w:instrText xml:space="preserve"> PAGEREF _Toc232676299 \h </w:instrText>
            </w:r>
            <w:r w:rsidR="00F03CE9">
              <w:rPr>
                <w:noProof/>
                <w:webHidden/>
              </w:rPr>
            </w:r>
            <w:r w:rsidR="00F03CE9">
              <w:rPr>
                <w:noProof/>
                <w:webHidden/>
              </w:rPr>
              <w:fldChar w:fldCharType="separate"/>
            </w:r>
            <w:r w:rsidR="00F03CE9">
              <w:rPr>
                <w:noProof/>
                <w:webHidden/>
              </w:rPr>
              <w:t>19</w:t>
            </w:r>
            <w:r w:rsidR="00F03CE9">
              <w:rPr>
                <w:noProof/>
                <w:webHidden/>
              </w:rPr>
              <w:fldChar w:fldCharType="end"/>
            </w:r>
          </w:hyperlink>
        </w:p>
        <w:p w14:paraId="61D61895" w14:textId="23ACB544"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2676281"/>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5CF03211" w14:textId="667EB20C" w:rsidR="00733AF6" w:rsidRPr="00F03CE9" w:rsidRDefault="00FD2F5B" w:rsidP="00F03CE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2676282"/>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267628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267628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BB6EE1"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BB6EE1"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BB6EE1"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267628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267628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267628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2676288"/>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2676289"/>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267629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267629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267629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267629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267629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2676295"/>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2676296"/>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07EEB021" w14:textId="77777777" w:rsidR="00F03CE9" w:rsidRPr="00C47929" w:rsidRDefault="00F03CE9" w:rsidP="00F03CE9">
      <w:pPr>
        <w:jc w:val="both"/>
        <w:rPr>
          <w:rFonts w:cs="Arial"/>
          <w:b/>
          <w:bCs/>
          <w:iCs/>
          <w:sz w:val="22"/>
        </w:rPr>
      </w:pPr>
      <w:r w:rsidRPr="00C47929">
        <w:rPr>
          <w:rFonts w:cs="Arial"/>
          <w:b/>
          <w:bCs/>
          <w:iCs/>
          <w:sz w:val="22"/>
        </w:rPr>
        <w:t>Applicants must, at the latest date of application, clearly demonstrate, all of the criteria listed below as relevant to the role:</w:t>
      </w:r>
    </w:p>
    <w:p w14:paraId="6AE79011" w14:textId="77777777" w:rsidR="00F03CE9" w:rsidRPr="00BB6EE1" w:rsidRDefault="00F03CE9" w:rsidP="00F03CE9">
      <w:pPr>
        <w:shd w:val="clear" w:color="auto" w:fill="FFFFFF"/>
        <w:rPr>
          <w:rFonts w:cs="Arial"/>
          <w:b/>
          <w:bCs/>
          <w:sz w:val="22"/>
          <w:lang w:eastAsia="en-IE"/>
        </w:rPr>
      </w:pPr>
    </w:p>
    <w:p w14:paraId="508ED137" w14:textId="77777777" w:rsidR="00F03CE9" w:rsidRPr="00BB6EE1" w:rsidRDefault="00F03CE9" w:rsidP="00F03CE9">
      <w:pPr>
        <w:numPr>
          <w:ilvl w:val="0"/>
          <w:numId w:val="46"/>
        </w:numPr>
        <w:autoSpaceDE w:val="0"/>
        <w:autoSpaceDN w:val="0"/>
        <w:adjustRightInd w:val="0"/>
        <w:spacing w:after="40" w:line="240" w:lineRule="auto"/>
        <w:rPr>
          <w:rFonts w:cs="Arial"/>
          <w:sz w:val="22"/>
        </w:rPr>
      </w:pPr>
      <w:r w:rsidRPr="00BB6EE1">
        <w:rPr>
          <w:rFonts w:cs="Arial"/>
          <w:bCs/>
          <w:iCs/>
          <w:sz w:val="22"/>
        </w:rPr>
        <w:t xml:space="preserve">Significant experience working at a senior level in the design, procure, build and run of Enterprise Scale Network Infrastructure and Services across a large, distributed network in a complex organisation, including both on-premises and cloud environments, with responsibility for defining and governing network architecture at enterprise scale. </w:t>
      </w:r>
    </w:p>
    <w:p w14:paraId="11FCFA55" w14:textId="77777777" w:rsidR="00F03CE9" w:rsidRPr="00BB6EE1" w:rsidRDefault="00F03CE9" w:rsidP="00F03CE9">
      <w:pPr>
        <w:pStyle w:val="ListParagraph"/>
        <w:widowControl w:val="0"/>
        <w:numPr>
          <w:ilvl w:val="0"/>
          <w:numId w:val="45"/>
        </w:numPr>
        <w:tabs>
          <w:tab w:val="clear" w:pos="360"/>
        </w:tabs>
        <w:spacing w:after="40" w:line="240" w:lineRule="auto"/>
        <w:contextualSpacing w:val="0"/>
        <w:rPr>
          <w:rFonts w:cs="Arial"/>
          <w:bCs/>
          <w:sz w:val="22"/>
        </w:rPr>
      </w:pPr>
      <w:r w:rsidRPr="00BB6EE1">
        <w:rPr>
          <w:rFonts w:cs="Arial"/>
          <w:sz w:val="22"/>
        </w:rPr>
        <w:t>Proven experience leading and delivering complex network</w:t>
      </w:r>
      <w:r w:rsidRPr="00BB6EE1">
        <w:rPr>
          <w:rFonts w:ascii="Cambria Math" w:hAnsi="Cambria Math" w:cs="Cambria Math"/>
          <w:sz w:val="22"/>
        </w:rPr>
        <w:t>‑</w:t>
      </w:r>
      <w:r w:rsidRPr="00BB6EE1">
        <w:rPr>
          <w:rFonts w:cs="Arial"/>
          <w:sz w:val="22"/>
        </w:rPr>
        <w:t>related ICT</w:t>
      </w:r>
      <w:r w:rsidRPr="00BB6EE1">
        <w:rPr>
          <w:rFonts w:ascii="Cambria Math" w:hAnsi="Cambria Math" w:cs="Cambria Math"/>
          <w:sz w:val="22"/>
        </w:rPr>
        <w:t>‑</w:t>
      </w:r>
      <w:r w:rsidRPr="00BB6EE1">
        <w:rPr>
          <w:rFonts w:cs="Arial"/>
          <w:sz w:val="22"/>
        </w:rPr>
        <w:t>enabled change programmes and transformation initiatives, with a strong record of translating strategic objectives into sustained operational outcomes, w</w:t>
      </w:r>
      <w:r w:rsidRPr="00BB6EE1">
        <w:rPr>
          <w:rFonts w:cs="Arial"/>
          <w:bCs/>
          <w:sz w:val="22"/>
        </w:rPr>
        <w:t>orking collaboratively and managing relationships with senior internal and external stakeholders, partners, vendors and service providers to maximise service delivery and project outcomes.</w:t>
      </w:r>
    </w:p>
    <w:p w14:paraId="311C5011" w14:textId="77777777" w:rsidR="00F03CE9" w:rsidRPr="00BB6EE1" w:rsidRDefault="00F03CE9" w:rsidP="00F03CE9">
      <w:pPr>
        <w:numPr>
          <w:ilvl w:val="0"/>
          <w:numId w:val="45"/>
        </w:numPr>
        <w:spacing w:after="40" w:line="240" w:lineRule="auto"/>
        <w:ind w:left="357" w:hanging="357"/>
        <w:jc w:val="both"/>
        <w:rPr>
          <w:rFonts w:cs="Arial"/>
          <w:sz w:val="22"/>
        </w:rPr>
      </w:pPr>
      <w:r w:rsidRPr="00BB6EE1">
        <w:rPr>
          <w:rFonts w:cs="Arial"/>
          <w:sz w:val="22"/>
        </w:rPr>
        <w:t>Experience of leading and managing a large distributed team, as relevant to the role.</w:t>
      </w:r>
    </w:p>
    <w:p w14:paraId="26387711" w14:textId="295CD805" w:rsidR="00F03CE9" w:rsidRDefault="00F03CE9" w:rsidP="00F03CE9">
      <w:pPr>
        <w:numPr>
          <w:ilvl w:val="0"/>
          <w:numId w:val="45"/>
        </w:numPr>
        <w:spacing w:after="40" w:line="240" w:lineRule="auto"/>
        <w:jc w:val="both"/>
        <w:rPr>
          <w:rFonts w:cs="Arial"/>
          <w:sz w:val="22"/>
        </w:rPr>
      </w:pPr>
      <w:r w:rsidRPr="00BB6EE1">
        <w:rPr>
          <w:rFonts w:cs="Arial"/>
          <w:sz w:val="22"/>
        </w:rPr>
        <w:t>Demonstrated experience of complex procurements, budget planning, financial management and resource management processes relevant to large</w:t>
      </w:r>
      <w:r w:rsidRPr="00BB6EE1">
        <w:rPr>
          <w:rFonts w:ascii="Cambria Math" w:hAnsi="Cambria Math" w:cs="Cambria Math"/>
          <w:sz w:val="22"/>
        </w:rPr>
        <w:t>‑</w:t>
      </w:r>
      <w:r w:rsidRPr="00BB6EE1">
        <w:rPr>
          <w:rFonts w:cs="Arial"/>
          <w:sz w:val="22"/>
        </w:rPr>
        <w:t>scale ICT services.</w:t>
      </w:r>
    </w:p>
    <w:p w14:paraId="69D7FEB2" w14:textId="77777777" w:rsidR="00BB6EE1" w:rsidRPr="00BB6EE1" w:rsidRDefault="00BB6EE1" w:rsidP="00BB6EE1">
      <w:pPr>
        <w:spacing w:after="40" w:line="240" w:lineRule="auto"/>
        <w:ind w:left="360"/>
        <w:jc w:val="both"/>
        <w:rPr>
          <w:rFonts w:cs="Arial"/>
          <w:sz w:val="22"/>
        </w:rPr>
      </w:pPr>
    </w:p>
    <w:p w14:paraId="5F3C8750" w14:textId="77777777" w:rsidR="00F03CE9" w:rsidRPr="00BB6EE1" w:rsidRDefault="00F03CE9" w:rsidP="00BB6EE1">
      <w:pPr>
        <w:ind w:left="3600" w:right="-766"/>
        <w:rPr>
          <w:rFonts w:cs="Arial"/>
          <w:b/>
          <w:bCs/>
          <w:sz w:val="22"/>
          <w:u w:val="single"/>
        </w:rPr>
      </w:pPr>
      <w:bookmarkStart w:id="21" w:name="_GoBack"/>
      <w:bookmarkEnd w:id="21"/>
      <w:r w:rsidRPr="00BB6EE1">
        <w:rPr>
          <w:rFonts w:cs="Arial"/>
          <w:b/>
          <w:bCs/>
          <w:sz w:val="22"/>
          <w:u w:val="single"/>
        </w:rPr>
        <w:t>And</w:t>
      </w:r>
    </w:p>
    <w:p w14:paraId="301FF47C" w14:textId="77777777" w:rsidR="00F03CE9" w:rsidRPr="00BB6EE1" w:rsidRDefault="00F03CE9" w:rsidP="00F03CE9">
      <w:pPr>
        <w:ind w:right="-766"/>
        <w:rPr>
          <w:rFonts w:cs="Arial"/>
          <w:sz w:val="24"/>
          <w:szCs w:val="24"/>
        </w:rPr>
      </w:pPr>
    </w:p>
    <w:p w14:paraId="3BB4DA05" w14:textId="46FE3F2E" w:rsidR="00DB1DA3" w:rsidRPr="00BB6EE1" w:rsidRDefault="00F03CE9" w:rsidP="00F03CE9">
      <w:pPr>
        <w:rPr>
          <w:rFonts w:cs="Arial"/>
          <w:sz w:val="22"/>
        </w:rPr>
      </w:pPr>
      <w:r w:rsidRPr="00BB6EE1">
        <w:rPr>
          <w:rFonts w:cs="Arial"/>
          <w:sz w:val="22"/>
        </w:rPr>
        <w:t xml:space="preserve">Candidates must possess the requisite knowledge and ability, including a high standard of suitability, for the proper discharge of the office. </w:t>
      </w: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44FCCAFB" w14:textId="6B90AAAF" w:rsidR="00DB1DA3" w:rsidRDefault="00DB1DA3" w:rsidP="00DB1DA3">
      <w:pPr>
        <w:jc w:val="both"/>
        <w:rPr>
          <w:rFonts w:cs="Arial"/>
          <w:b/>
          <w:sz w:val="22"/>
        </w:rPr>
      </w:pPr>
    </w:p>
    <w:p w14:paraId="27F0EBBE" w14:textId="77777777" w:rsidR="00F03CE9" w:rsidRPr="00181A57" w:rsidRDefault="00F03CE9" w:rsidP="00DB1DA3">
      <w:pPr>
        <w:jc w:val="both"/>
        <w:rPr>
          <w:rFonts w:cs="Arial"/>
          <w:b/>
          <w:bCs/>
          <w:i/>
          <w:iCs/>
          <w:sz w:val="22"/>
        </w:rPr>
      </w:pP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32676297"/>
      <w:bookmarkStart w:id="24" w:name="_Toc188374543"/>
      <w:r w:rsidRPr="00181A57">
        <w:lastRenderedPageBreak/>
        <w:t>Appendix 2: EEA, Swiss, British and Non-EEA Applicants</w:t>
      </w:r>
      <w:bookmarkEnd w:id="22"/>
      <w:bookmarkEnd w:id="23"/>
      <w:r w:rsidRPr="00181A57">
        <w:t xml:space="preserve"> </w:t>
      </w:r>
      <w:bookmarkEnd w:id="24"/>
    </w:p>
    <w:p w14:paraId="09A462F3" w14:textId="77777777" w:rsidR="008B314C" w:rsidRPr="00181A57" w:rsidRDefault="00431CA1" w:rsidP="008B314C">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w:t>
      </w:r>
      <w:bookmarkStart w:id="25" w:name="_Appendix_4:_Clearances"/>
      <w:bookmarkStart w:id="26" w:name="_Toc188374544"/>
      <w:bookmarkStart w:id="27" w:name="_Toc221799140"/>
      <w:bookmarkEnd w:id="25"/>
      <w:r w:rsidR="008B314C" w:rsidRPr="00181A57">
        <w:rPr>
          <w:rFonts w:cs="Arial"/>
          <w:b/>
          <w:sz w:val="22"/>
        </w:rPr>
        <w:t>Applicants who are EEA, Swiss, or British citizens do not require work permits / visas</w:t>
      </w:r>
    </w:p>
    <w:p w14:paraId="0274BB81" w14:textId="77777777" w:rsidR="008B314C" w:rsidRPr="00181A57" w:rsidRDefault="008B314C" w:rsidP="008B314C">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349F251" w14:textId="77777777" w:rsidR="008B314C" w:rsidRPr="00181A57" w:rsidRDefault="008B314C" w:rsidP="008B314C">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6E1FEF2" w14:textId="77777777" w:rsidR="008B314C" w:rsidRPr="00181A57" w:rsidRDefault="008B314C" w:rsidP="008B314C">
      <w:pPr>
        <w:spacing w:before="240" w:after="120" w:line="240" w:lineRule="auto"/>
        <w:rPr>
          <w:rFonts w:cs="Arial"/>
          <w:sz w:val="22"/>
        </w:rPr>
      </w:pPr>
      <w:r w:rsidRPr="00181A57">
        <w:rPr>
          <w:rFonts w:cs="Arial"/>
          <w:sz w:val="22"/>
        </w:rPr>
        <w:t>To process your application it is necessary for you to submit the following documentation:</w:t>
      </w:r>
    </w:p>
    <w:p w14:paraId="36FE5B83" w14:textId="77777777" w:rsidR="008B314C" w:rsidRPr="00181A57" w:rsidRDefault="008B314C" w:rsidP="008B314C">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57098303" w14:textId="77777777" w:rsidR="008B314C" w:rsidRPr="00181A57" w:rsidRDefault="008B314C" w:rsidP="008B314C">
      <w:pPr>
        <w:spacing w:before="240" w:after="0" w:line="240" w:lineRule="auto"/>
        <w:ind w:left="360" w:firstLine="360"/>
        <w:rPr>
          <w:rFonts w:cs="Arial"/>
          <w:b/>
          <w:bCs/>
          <w:sz w:val="22"/>
        </w:rPr>
      </w:pPr>
      <w:r w:rsidRPr="00181A57">
        <w:rPr>
          <w:rFonts w:cs="Arial"/>
          <w:b/>
          <w:bCs/>
          <w:sz w:val="22"/>
        </w:rPr>
        <w:t>Or</w:t>
      </w:r>
    </w:p>
    <w:p w14:paraId="22F3DC70" w14:textId="77777777" w:rsidR="008B314C" w:rsidRDefault="008B314C" w:rsidP="008B314C">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5C8012" w14:textId="77777777" w:rsidR="008B314C" w:rsidRDefault="008B314C" w:rsidP="008B314C">
      <w:pPr>
        <w:spacing w:before="240" w:after="0" w:line="240" w:lineRule="auto"/>
        <w:ind w:left="720"/>
        <w:rPr>
          <w:rFonts w:cs="Arial"/>
          <w:sz w:val="22"/>
        </w:rPr>
      </w:pPr>
    </w:p>
    <w:p w14:paraId="77A9DBA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4A5D4AF9"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812137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688284DD" w14:textId="77777777" w:rsidR="008B314C" w:rsidRDefault="008B314C" w:rsidP="008B314C">
      <w:pPr>
        <w:pStyle w:val="paragraph"/>
        <w:numPr>
          <w:ilvl w:val="0"/>
          <w:numId w:val="43"/>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72300632" w14:textId="77777777" w:rsidR="008B314C" w:rsidRDefault="008B314C" w:rsidP="008B314C">
      <w:pPr>
        <w:pStyle w:val="paragraph"/>
        <w:spacing w:before="0" w:beforeAutospacing="0" w:after="0" w:afterAutospacing="0"/>
        <w:ind w:left="1800"/>
        <w:textAlignment w:val="baseline"/>
        <w:rPr>
          <w:rFonts w:ascii="Arial" w:hAnsi="Arial" w:cs="Arial"/>
          <w:sz w:val="22"/>
          <w:szCs w:val="22"/>
        </w:rPr>
      </w:pPr>
    </w:p>
    <w:p w14:paraId="376AAC4B"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6"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If the role is not on the Critical Skills Occupations List then the HSE will be unable to apply for a work permit regardless of whether or not you are successful at interview.</w:t>
      </w:r>
      <w:r>
        <w:rPr>
          <w:rStyle w:val="eop"/>
          <w:rFonts w:ascii="Arial" w:hAnsi="Arial" w:cs="Arial"/>
          <w:sz w:val="22"/>
          <w:szCs w:val="22"/>
        </w:rPr>
        <w:t> </w:t>
      </w:r>
    </w:p>
    <w:p w14:paraId="1260841A"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1BB89E88" w14:textId="77777777" w:rsidR="008B314C" w:rsidRDefault="008B314C" w:rsidP="008B314C">
      <w:pPr>
        <w:pStyle w:val="paragraph"/>
        <w:numPr>
          <w:ilvl w:val="0"/>
          <w:numId w:val="4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14A68D05" w14:textId="77777777" w:rsidR="008B314C" w:rsidRPr="00181A57" w:rsidRDefault="008B314C" w:rsidP="008B314C">
      <w:pPr>
        <w:spacing w:before="240" w:after="0" w:line="240" w:lineRule="auto"/>
        <w:ind w:left="720"/>
        <w:rPr>
          <w:rFonts w:cs="Arial"/>
          <w:sz w:val="22"/>
        </w:rPr>
      </w:pPr>
    </w:p>
    <w:p w14:paraId="547CA27A" w14:textId="77777777" w:rsidR="008B314C" w:rsidRPr="00181A57" w:rsidRDefault="008B314C" w:rsidP="008B314C">
      <w:pPr>
        <w:pStyle w:val="ListParagraph"/>
        <w:spacing w:before="240" w:after="120" w:line="240" w:lineRule="auto"/>
        <w:jc w:val="center"/>
        <w:rPr>
          <w:rFonts w:cs="Arial"/>
          <w:b/>
          <w:bCs/>
          <w:sz w:val="22"/>
        </w:rPr>
      </w:pPr>
      <w:r w:rsidRPr="00181A57">
        <w:rPr>
          <w:rFonts w:cs="Arial"/>
          <w:b/>
          <w:bCs/>
          <w:sz w:val="22"/>
        </w:rPr>
        <w:t>OR</w:t>
      </w:r>
    </w:p>
    <w:p w14:paraId="4C71FBDC" w14:textId="77777777" w:rsidR="008B314C" w:rsidRPr="00181A57" w:rsidRDefault="008B314C" w:rsidP="008B314C">
      <w:pPr>
        <w:pStyle w:val="ListParagraph"/>
        <w:spacing w:before="240" w:after="120" w:line="240" w:lineRule="auto"/>
        <w:jc w:val="center"/>
        <w:rPr>
          <w:rFonts w:cs="Arial"/>
          <w:sz w:val="22"/>
        </w:rPr>
      </w:pPr>
    </w:p>
    <w:p w14:paraId="4BD80315" w14:textId="77777777" w:rsidR="008B314C" w:rsidRPr="00181A57" w:rsidRDefault="008B314C" w:rsidP="008B314C">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8FB2681"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Or</w:t>
      </w:r>
    </w:p>
    <w:p w14:paraId="1600EF98" w14:textId="77777777" w:rsidR="008B314C" w:rsidRPr="00181A57" w:rsidRDefault="008B314C" w:rsidP="008B314C">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3CF44DB2"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And</w:t>
      </w:r>
    </w:p>
    <w:p w14:paraId="03557757" w14:textId="77777777" w:rsidR="008B314C" w:rsidRPr="00181A57" w:rsidRDefault="008B314C" w:rsidP="008B314C">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0CFF7A3" w14:textId="77777777" w:rsidR="008B314C" w:rsidRPr="00181A57" w:rsidRDefault="008B314C" w:rsidP="008B314C">
      <w:pPr>
        <w:pStyle w:val="ListParagraph"/>
        <w:spacing w:before="240" w:after="0" w:line="240" w:lineRule="auto"/>
        <w:ind w:left="0" w:firstLine="720"/>
        <w:rPr>
          <w:sz w:val="22"/>
        </w:rPr>
      </w:pPr>
      <w:r w:rsidRPr="00181A57">
        <w:rPr>
          <w:b/>
          <w:bCs/>
          <w:sz w:val="22"/>
        </w:rPr>
        <w:t>Or</w:t>
      </w:r>
    </w:p>
    <w:p w14:paraId="455BD014" w14:textId="77777777" w:rsidR="008B314C" w:rsidRPr="00181A57" w:rsidRDefault="008B314C" w:rsidP="008B314C">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E4A5B04" w14:textId="77777777" w:rsidR="008B314C" w:rsidRPr="00181A57" w:rsidRDefault="008B314C" w:rsidP="008B314C">
      <w:pPr>
        <w:spacing w:before="240" w:after="0" w:line="240" w:lineRule="auto"/>
        <w:ind w:firstLine="720"/>
        <w:rPr>
          <w:rFonts w:cs="Arial"/>
          <w:i/>
          <w:iCs/>
          <w:sz w:val="22"/>
        </w:rPr>
      </w:pPr>
      <w:r w:rsidRPr="00181A57">
        <w:rPr>
          <w:rFonts w:cs="Arial"/>
          <w:b/>
          <w:bCs/>
          <w:sz w:val="22"/>
        </w:rPr>
        <w:t>Or</w:t>
      </w:r>
    </w:p>
    <w:p w14:paraId="3592A642" w14:textId="77777777" w:rsidR="008B314C" w:rsidRPr="00181A57" w:rsidRDefault="008B314C" w:rsidP="008B314C">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6010AEA" w14:textId="77777777" w:rsidR="008B314C" w:rsidRPr="00181A57" w:rsidRDefault="008B314C" w:rsidP="008B314C">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010CA427" w14:textId="77777777" w:rsidR="008B314C" w:rsidRDefault="008B314C" w:rsidP="008B314C">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7"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5D022A48" w14:textId="77777777" w:rsidR="008B314C" w:rsidRPr="00181A57" w:rsidRDefault="008B314C" w:rsidP="008B314C">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371CFC40" w14:textId="77777777" w:rsidR="008B314C" w:rsidRPr="00436CA9" w:rsidRDefault="008B314C" w:rsidP="008B314C">
      <w:pPr>
        <w:spacing w:after="120" w:line="360" w:lineRule="auto"/>
        <w:rPr>
          <w:rFonts w:cs="Arial"/>
          <w:sz w:val="22"/>
        </w:rPr>
      </w:pPr>
      <w:r w:rsidRPr="00436CA9">
        <w:rPr>
          <w:rFonts w:cs="Arial"/>
          <w:sz w:val="22"/>
        </w:rPr>
        <w:br w:type="page"/>
      </w:r>
    </w:p>
    <w:p w14:paraId="10EFE9AA" w14:textId="6E05FE5C" w:rsidR="000A270B" w:rsidRDefault="000A270B" w:rsidP="008B314C">
      <w:pPr>
        <w:spacing w:before="240" w:after="120" w:line="240" w:lineRule="auto"/>
      </w:pPr>
      <w:r w:rsidRPr="00181A57">
        <w:lastRenderedPageBreak/>
        <w:t>Appendix 3: Clearances</w:t>
      </w:r>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3"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32676298"/>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49D2E0D7" w14:textId="459E5B36" w:rsidR="00F03CE9" w:rsidRPr="00436CA9" w:rsidRDefault="00F03CE9" w:rsidP="00436CA9">
      <w:pPr>
        <w:spacing w:after="120" w:line="360" w:lineRule="auto"/>
        <w:rPr>
          <w:rFonts w:cs="Arial"/>
          <w:sz w:val="22"/>
        </w:rPr>
      </w:pPr>
    </w:p>
    <w:p w14:paraId="3F31DF10" w14:textId="0B8AC158" w:rsidR="00F738BF"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32676299"/>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6527F128" w14:textId="77777777" w:rsidR="00F03CE9" w:rsidRPr="00F03CE9" w:rsidRDefault="00F03CE9" w:rsidP="00F03CE9">
      <w:pPr>
        <w:rPr>
          <w:lang w:val="en-GB" w:eastAsia="zh-CN"/>
        </w:rPr>
      </w:pPr>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D65E" w14:textId="77777777" w:rsidR="003F0C56" w:rsidRDefault="003F0C56" w:rsidP="0037769B">
      <w:pPr>
        <w:spacing w:after="0" w:line="240" w:lineRule="auto"/>
      </w:pPr>
      <w:r>
        <w:separator/>
      </w:r>
    </w:p>
  </w:endnote>
  <w:endnote w:type="continuationSeparator" w:id="0">
    <w:p w14:paraId="5D070CD2" w14:textId="77777777" w:rsidR="003F0C56" w:rsidRDefault="003F0C5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090EB071" w14:textId="78D6C8D8"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BB6EE1">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8C754D8" w14:textId="6BF89E4B"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BB6EE1">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BB6EE1">
          <w:rPr>
            <w:rFonts w:ascii="Arial" w:hAnsi="Arial" w:cs="Arial"/>
            <w:noProof/>
            <w:sz w:val="20"/>
          </w:rPr>
          <w:t>18/06/2026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ABE5" w14:textId="77777777" w:rsidR="003F0C56" w:rsidRDefault="003F0C56" w:rsidP="0037769B">
      <w:pPr>
        <w:spacing w:after="0" w:line="240" w:lineRule="auto"/>
      </w:pPr>
      <w:r>
        <w:separator/>
      </w:r>
    </w:p>
  </w:footnote>
  <w:footnote w:type="continuationSeparator" w:id="0">
    <w:p w14:paraId="02C30E11" w14:textId="77777777" w:rsidR="003F0C56" w:rsidRDefault="003F0C5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0C2E87"/>
    <w:multiLevelType w:val="hybridMultilevel"/>
    <w:tmpl w:val="B60090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2B6AC4"/>
    <w:multiLevelType w:val="multilevel"/>
    <w:tmpl w:val="AC7A63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8"/>
  </w:num>
  <w:num w:numId="4">
    <w:abstractNumId w:val="28"/>
  </w:num>
  <w:num w:numId="5">
    <w:abstractNumId w:val="5"/>
  </w:num>
  <w:num w:numId="6">
    <w:abstractNumId w:val="9"/>
  </w:num>
  <w:num w:numId="7">
    <w:abstractNumId w:val="36"/>
  </w:num>
  <w:num w:numId="8">
    <w:abstractNumId w:val="23"/>
  </w:num>
  <w:num w:numId="9">
    <w:abstractNumId w:val="11"/>
  </w:num>
  <w:num w:numId="10">
    <w:abstractNumId w:val="0"/>
  </w:num>
  <w:num w:numId="11">
    <w:abstractNumId w:val="14"/>
  </w:num>
  <w:num w:numId="12">
    <w:abstractNumId w:val="25"/>
  </w:num>
  <w:num w:numId="13">
    <w:abstractNumId w:val="15"/>
  </w:num>
  <w:num w:numId="14">
    <w:abstractNumId w:val="17"/>
  </w:num>
  <w:num w:numId="15">
    <w:abstractNumId w:val="37"/>
  </w:num>
  <w:num w:numId="16">
    <w:abstractNumId w:val="32"/>
  </w:num>
  <w:num w:numId="17">
    <w:abstractNumId w:val="43"/>
  </w:num>
  <w:num w:numId="18">
    <w:abstractNumId w:val="8"/>
  </w:num>
  <w:num w:numId="19">
    <w:abstractNumId w:val="22"/>
  </w:num>
  <w:num w:numId="20">
    <w:abstractNumId w:val="24"/>
  </w:num>
  <w:num w:numId="21">
    <w:abstractNumId w:val="33"/>
  </w:num>
  <w:num w:numId="22">
    <w:abstractNumId w:val="12"/>
  </w:num>
  <w:num w:numId="23">
    <w:abstractNumId w:val="4"/>
  </w:num>
  <w:num w:numId="24">
    <w:abstractNumId w:val="13"/>
  </w:num>
  <w:num w:numId="25">
    <w:abstractNumId w:val="3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 w:numId="32">
    <w:abstractNumId w:val="40"/>
  </w:num>
  <w:num w:numId="33">
    <w:abstractNumId w:val="21"/>
  </w:num>
  <w:num w:numId="34">
    <w:abstractNumId w:val="6"/>
  </w:num>
  <w:num w:numId="35">
    <w:abstractNumId w:val="39"/>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0"/>
  </w:num>
  <w:num w:numId="44">
    <w:abstractNumId w:val="31"/>
  </w:num>
  <w:num w:numId="45">
    <w:abstractNumId w:val="3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47164"/>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06F2"/>
    <w:rsid w:val="008658C0"/>
    <w:rsid w:val="00867863"/>
    <w:rsid w:val="008701B3"/>
    <w:rsid w:val="00872000"/>
    <w:rsid w:val="008757B5"/>
    <w:rsid w:val="00884197"/>
    <w:rsid w:val="00890D87"/>
    <w:rsid w:val="00891782"/>
    <w:rsid w:val="008A1915"/>
    <w:rsid w:val="008A333F"/>
    <w:rsid w:val="008B314C"/>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6EE1"/>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CE9"/>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8B31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B314C"/>
  </w:style>
  <w:style w:type="character" w:customStyle="1" w:styleId="eop">
    <w:name w:val="eop"/>
    <w:basedOn w:val="DefaultParagraphFont"/>
    <w:rsid w:val="008B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enterprise.gov.ie/en/what-we-do/workplace-and-skills/employment-permits/employment-permit-eligibility/highly-skilled-eligible-occupations-list/"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4F8AA73F-7E22-4CFF-82E0-791892F46FF2}">
  <ds:schemaRef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d9b1138e-bf12-46b5-877b-0750c2cb7ee9"/>
    <ds:schemaRef ds:uri="f2052192-b53c-44a5-9b73-da90265d6567"/>
    <ds:schemaRef ds:uri="http://www.w3.org/XML/1998/namespace"/>
  </ds:schemaRefs>
</ds:datastoreItem>
</file>

<file path=customXml/itemProps4.xml><?xml version="1.0" encoding="utf-8"?>
<ds:datastoreItem xmlns:ds="http://schemas.openxmlformats.org/officeDocument/2006/customXml" ds:itemID="{E89FD99B-2482-4934-ACEC-4BDC22B6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MaryRose McIntyre</cp:lastModifiedBy>
  <cp:revision>4</cp:revision>
  <cp:lastPrinted>2023-06-29T15:04:00Z</cp:lastPrinted>
  <dcterms:created xsi:type="dcterms:W3CDTF">2026-06-18T10:59:00Z</dcterms:created>
  <dcterms:modified xsi:type="dcterms:W3CDTF">2026-06-18T13:57:00Z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